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0171B" w14:textId="664FD486" w:rsidR="006B7F00" w:rsidRPr="006E0617" w:rsidRDefault="00000000" w:rsidP="00CE1C16">
      <w:pPr>
        <w:pStyle w:val="Normlnweb"/>
        <w:spacing w:before="60" w:beforeAutospacing="0" w:after="0" w:afterAutospacing="0"/>
        <w:jc w:val="center"/>
        <w:rPr>
          <w:rFonts w:ascii="Calibri" w:hAnsi="Calibri" w:cs="Calibri"/>
          <w:b/>
          <w:bCs/>
          <w:color w:val="002060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FFFFFF" w:themeColor="background1"/>
          <w:sz w:val="52"/>
          <w:szCs w:val="52"/>
          <w:lang w:val="en-GB"/>
        </w:rPr>
        <w:pict w14:anchorId="12E8E516">
          <v:rect id="Rectangle 63" o:spid="_x0000_s1026" style="position:absolute;left:0;text-align:left;margin-left:0;margin-top:58.5pt;width:46.2pt;height:3.6pt;z-index:2516577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" fillcolor="#e97132 [3205]" stroked="f" strokeweight="1pt">
            <v:shadow on="t" color="black" opacity="26214f" origin="-.5,-.5" offset=".74836mm,.74836mm"/>
            <w10:wrap anchorx="margin"/>
          </v:rect>
        </w:pict>
      </w:r>
      <w:r w:rsidR="006B7F00" w:rsidRPr="004830E4">
        <w:rPr>
          <w:rFonts w:ascii="Calibri" w:hAnsi="Calibri" w:cs="Calibri"/>
          <w:b/>
          <w:bCs/>
          <w:noProof/>
          <w:color w:val="FFFFFF" w:themeColor="background1"/>
          <w:sz w:val="52"/>
          <w:szCs w:val="52"/>
          <w:lang w:val="en-GB"/>
        </w:rPr>
        <w:drawing>
          <wp:anchor distT="0" distB="0" distL="114300" distR="114300" simplePos="0" relativeHeight="251659776" behindDoc="1" locked="0" layoutInCell="1" allowOverlap="1" wp14:anchorId="3D48FB8B" wp14:editId="63A65A7C">
            <wp:simplePos x="0" y="0"/>
            <wp:positionH relativeFrom="page">
              <wp:align>left</wp:align>
            </wp:positionH>
            <wp:positionV relativeFrom="paragraph">
              <wp:posOffset>-900080</wp:posOffset>
            </wp:positionV>
            <wp:extent cx="7574921" cy="1797269"/>
            <wp:effectExtent l="0" t="0" r="6985" b="0"/>
            <wp:wrapNone/>
            <wp:docPr id="1496297049" name="Image 5" descr="Une image contenant Bleu électrique, Bleu cobalt, Bleu Majorelle, drap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956334" name="Image 5" descr="Une image contenant Bleu électrique, Bleu cobalt, Bleu Majorelle, drapeau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921" cy="1797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30E4" w:rsidRPr="004830E4">
        <w:rPr>
          <w:rFonts w:ascii="Calibri" w:hAnsi="Calibri" w:cs="Calibri"/>
          <w:b/>
          <w:bCs/>
          <w:color w:val="FFFFFF" w:themeColor="background1"/>
          <w:sz w:val="52"/>
          <w:szCs w:val="52"/>
          <w:lang w:val="en-GB"/>
        </w:rPr>
        <w:t>LISTINA ZÁKLADNÍCH PRÁV EU</w:t>
      </w:r>
      <w:r w:rsidR="006B7F00" w:rsidRPr="006B7F00">
        <w:rPr>
          <w:rFonts w:ascii="Calibri" w:hAnsi="Calibri" w:cs="Calibri"/>
          <w:b/>
          <w:bCs/>
          <w:color w:val="FFFFFF" w:themeColor="background1"/>
          <w:sz w:val="52"/>
          <w:szCs w:val="52"/>
          <w:lang w:val="en-GB"/>
        </w:rPr>
        <w:t> :</w:t>
      </w:r>
      <w:r w:rsidR="00113939">
        <w:rPr>
          <w:rFonts w:ascii="Calibri" w:hAnsi="Calibri" w:cs="Calibri"/>
          <w:b/>
          <w:bCs/>
          <w:color w:val="FFFFFF" w:themeColor="background1"/>
          <w:sz w:val="52"/>
          <w:szCs w:val="52"/>
          <w:lang w:val="en-GB"/>
        </w:rPr>
        <w:br/>
      </w:r>
      <w:r w:rsidR="004830E4">
        <w:rPr>
          <w:rFonts w:ascii="Calibri" w:hAnsi="Calibri" w:cs="Calibri"/>
          <w:b/>
          <w:bCs/>
          <w:color w:val="FFFFFF" w:themeColor="background1"/>
          <w:sz w:val="52"/>
          <w:szCs w:val="52"/>
          <w:lang w:val="en-GB"/>
        </w:rPr>
        <w:t>OTÁZKY A ODPOVĚDI</w:t>
      </w:r>
    </w:p>
    <w:p w14:paraId="6A45300A" w14:textId="33625628" w:rsidR="00340BDB" w:rsidRDefault="00000000" w:rsidP="00CE1C16">
      <w:pPr>
        <w:spacing w:before="60"/>
        <w:jc w:val="center"/>
        <w:rPr>
          <w:rFonts w:ascii="Calibri" w:hAnsi="Calibri" w:cs="Calibri"/>
          <w:b/>
          <w:bCs/>
        </w:rPr>
      </w:pPr>
      <w:r>
        <w:rPr>
          <w:rFonts w:ascii="Times New Roman" w:hAnsi="Times New Roman" w:cs="Times New Roman"/>
          <w:noProof/>
        </w:rPr>
        <w:pict w14:anchorId="7549AB4E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7" type="#_x0000_t202" style="position:absolute;left:0;text-align:left;margin-left:12.7pt;margin-top:27.65pt;width:447.75pt;height:61.5pt;z-index:251658752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" strokecolor="#002060" strokeweight="1.5pt">
            <v:textbox>
              <w:txbxContent>
                <w:p w14:paraId="785377F5" w14:textId="1F2AB4CD" w:rsidR="00527955" w:rsidRDefault="00B83744" w:rsidP="00527955">
                  <w:pPr>
                    <w:pStyle w:val="Normlnweb"/>
                    <w:spacing w:line="276" w:lineRule="auto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 Light" w:hAnsi="Calibri Light" w:cs="Calibri Light"/>
                      <w:noProof/>
                      <w:lang w:val="en-US"/>
                    </w:rPr>
                    <w:drawing>
                      <wp:inline distT="0" distB="0" distL="0" distR="0" wp14:anchorId="670A127D" wp14:editId="08742E77">
                        <wp:extent cx="314325" cy="314325"/>
                        <wp:effectExtent l="0" t="0" r="9525" b="9525"/>
                        <wp:docPr id="1144210585" name="Graphique 2" descr="Informations contou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43038385" name="Graphique 1543038385" descr="Informations contour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96DAC541-7B7A-43D3-8B79-37D633B846F1}">
                                      <asvg:svgBlip xmlns:asvg="http://schemas.microsoft.com/office/drawing/2016/SVG/main" r:embed="rId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4325" cy="314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27955" w:rsidRPr="00527955">
                    <w:rPr>
                      <w:rFonts w:ascii="Calibri" w:hAnsi="Calibri"/>
                    </w:rPr>
                    <w:t xml:space="preserve"> </w:t>
                  </w:r>
                  <w:r w:rsidR="00527955">
                    <w:rPr>
                      <w:rFonts w:ascii="Calibri" w:hAnsi="Calibri"/>
                    </w:rPr>
                    <w:t xml:space="preserve">Tento dotazník lze použít </w:t>
                  </w:r>
                  <w:r w:rsidR="00615FE9">
                    <w:rPr>
                      <w:rFonts w:ascii="Calibri" w:hAnsi="Calibri"/>
                    </w:rPr>
                    <w:t>rovněž</w:t>
                  </w:r>
                  <w:r w:rsidR="00527955">
                    <w:rPr>
                      <w:rFonts w:ascii="Calibri" w:hAnsi="Calibri"/>
                    </w:rPr>
                    <w:t> </w:t>
                  </w:r>
                  <w:r w:rsidR="00615FE9">
                    <w:rPr>
                      <w:rFonts w:ascii="Calibri" w:hAnsi="Calibri"/>
                    </w:rPr>
                    <w:t>k otestování</w:t>
                  </w:r>
                  <w:r w:rsidR="00527955">
                    <w:rPr>
                      <w:rFonts w:ascii="Calibri" w:hAnsi="Calibri"/>
                    </w:rPr>
                    <w:t xml:space="preserve"> znalostí obsahu </w:t>
                  </w:r>
                  <w:r w:rsidR="009E5D5D">
                    <w:rPr>
                      <w:rFonts w:ascii="Calibri" w:hAnsi="Calibri"/>
                    </w:rPr>
                    <w:t xml:space="preserve">studijního materiálu </w:t>
                  </w:r>
                  <w:r w:rsidR="00F049E7">
                    <w:rPr>
                      <w:rFonts w:ascii="Calibri" w:hAnsi="Calibri"/>
                    </w:rPr>
                    <w:t>Příručk</w:t>
                  </w:r>
                  <w:r w:rsidR="009E5D5D">
                    <w:rPr>
                      <w:rFonts w:ascii="Calibri" w:hAnsi="Calibri"/>
                    </w:rPr>
                    <w:t>a</w:t>
                  </w:r>
                  <w:r w:rsidR="00F049E7">
                    <w:rPr>
                      <w:rFonts w:ascii="Calibri" w:hAnsi="Calibri"/>
                    </w:rPr>
                    <w:t xml:space="preserve"> k </w:t>
                  </w:r>
                  <w:r w:rsidR="0024022E">
                    <w:rPr>
                      <w:rFonts w:ascii="Calibri" w:hAnsi="Calibri"/>
                    </w:rPr>
                    <w:t>L</w:t>
                  </w:r>
                  <w:r w:rsidR="00F049E7">
                    <w:rPr>
                      <w:rFonts w:ascii="Calibri" w:hAnsi="Calibri"/>
                    </w:rPr>
                    <w:t>istině základních práv EU.</w:t>
                  </w:r>
                  <w:r w:rsidR="00527955">
                    <w:rPr>
                      <w:rFonts w:ascii="Calibri" w:hAnsi="Calibri"/>
                    </w:rPr>
                    <w:t xml:space="preserve"> Správné odpovědi jsou označeny zeleně.</w:t>
                  </w:r>
                </w:p>
                <w:p w14:paraId="5EEDFEA4" w14:textId="352DF0EF" w:rsidR="00B83744" w:rsidRPr="004F0EBF" w:rsidRDefault="00B83744" w:rsidP="00B83744">
                  <w:pPr>
                    <w:pStyle w:val="Normlnweb"/>
                    <w:spacing w:line="276" w:lineRule="auto"/>
                    <w:jc w:val="both"/>
                    <w:rPr>
                      <w:rFonts w:ascii="Calibri Light" w:hAnsi="Calibri Light" w:cs="Calibri Light"/>
                      <w:lang w:val="en-US"/>
                    </w:rPr>
                  </w:pPr>
                </w:p>
                <w:p w14:paraId="6B4ED4AF" w14:textId="77777777" w:rsidR="00B83744" w:rsidRDefault="00B83744" w:rsidP="00B83744"/>
              </w:txbxContent>
            </v:textbox>
            <w10:wrap type="square" anchorx="margin"/>
          </v:shape>
        </w:pict>
      </w:r>
    </w:p>
    <w:p w14:paraId="699B7DFB" w14:textId="4EF1F575" w:rsidR="00C23F9A" w:rsidRDefault="00C23F9A" w:rsidP="00CE1C16">
      <w:pPr>
        <w:spacing w:before="60"/>
        <w:jc w:val="center"/>
        <w:rPr>
          <w:rFonts w:ascii="Calibri" w:hAnsi="Calibri" w:cs="Calibri"/>
          <w:b/>
          <w:bCs/>
        </w:rPr>
      </w:pPr>
    </w:p>
    <w:p w14:paraId="791A02F9" w14:textId="2181843F" w:rsidR="00B83744" w:rsidRDefault="00993B1C" w:rsidP="00993B1C">
      <w:pPr>
        <w:spacing w:before="6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OTÁZKY</w:t>
      </w:r>
    </w:p>
    <w:p w14:paraId="3CBF754B" w14:textId="3830F19F" w:rsidR="00B83744" w:rsidRPr="000D67F7" w:rsidRDefault="00B83744" w:rsidP="00CE1C16">
      <w:pPr>
        <w:spacing w:before="60"/>
        <w:jc w:val="center"/>
        <w:rPr>
          <w:rFonts w:ascii="Calibri" w:hAnsi="Calibri" w:cs="Calibri"/>
          <w:b/>
          <w:bCs/>
        </w:rPr>
      </w:pPr>
    </w:p>
    <w:p w14:paraId="5B2E9DFC" w14:textId="77777777" w:rsidR="005E5812" w:rsidRPr="00010AEB" w:rsidRDefault="005E5812" w:rsidP="00CE1C16">
      <w:pPr>
        <w:numPr>
          <w:ilvl w:val="0"/>
          <w:numId w:val="1"/>
        </w:numPr>
        <w:spacing w:before="60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010AEB">
        <w:rPr>
          <w:rFonts w:ascii="Times New Roman" w:hAnsi="Times New Roman"/>
          <w:b/>
          <w:bCs/>
          <w:color w:val="153D63" w:themeColor="text2" w:themeTint="E6"/>
        </w:rPr>
        <w:t>K jakému hlavnímu účelu (účelům) slouží žádosti</w:t>
      </w:r>
      <w:r w:rsidR="00342031" w:rsidRPr="00010AEB">
        <w:rPr>
          <w:rFonts w:ascii="Times New Roman" w:hAnsi="Times New Roman"/>
          <w:b/>
          <w:bCs/>
          <w:color w:val="153D63" w:themeColor="text2" w:themeTint="E6"/>
        </w:rPr>
        <w:t xml:space="preserve"> o </w:t>
      </w:r>
      <w:r w:rsidRPr="00010AEB">
        <w:rPr>
          <w:rFonts w:ascii="Times New Roman" w:hAnsi="Times New Roman"/>
          <w:b/>
          <w:bCs/>
          <w:color w:val="153D63" w:themeColor="text2" w:themeTint="E6"/>
        </w:rPr>
        <w:t>rozhodnutí</w:t>
      </w:r>
      <w:r w:rsidR="00342031" w:rsidRPr="00010AEB">
        <w:rPr>
          <w:rFonts w:ascii="Times New Roman" w:hAnsi="Times New Roman"/>
          <w:b/>
          <w:bCs/>
          <w:color w:val="153D63" w:themeColor="text2" w:themeTint="E6"/>
        </w:rPr>
        <w:t xml:space="preserve"> o </w:t>
      </w:r>
      <w:r w:rsidRPr="00010AEB">
        <w:rPr>
          <w:rFonts w:ascii="Times New Roman" w:hAnsi="Times New Roman"/>
          <w:b/>
          <w:bCs/>
          <w:color w:val="153D63" w:themeColor="text2" w:themeTint="E6"/>
        </w:rPr>
        <w:t xml:space="preserve">předběžné otázce? </w:t>
      </w:r>
    </w:p>
    <w:p w14:paraId="266FC003" w14:textId="77777777" w:rsidR="005E5812" w:rsidRPr="00721939" w:rsidRDefault="005E5812" w:rsidP="00CE1C16">
      <w:pPr>
        <w:numPr>
          <w:ilvl w:val="1"/>
          <w:numId w:val="1"/>
        </w:numPr>
        <w:spacing w:before="60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Poskytování pomoci vnitrostátním soudům při výkladu unijního práva.</w:t>
      </w:r>
    </w:p>
    <w:p w14:paraId="28260969" w14:textId="77777777" w:rsidR="005E5812" w:rsidRPr="00AB6677" w:rsidRDefault="005E5812" w:rsidP="00CE1C16">
      <w:pPr>
        <w:numPr>
          <w:ilvl w:val="1"/>
          <w:numId w:val="1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Uplatňování nadřazenosti unijního práva nad vnitrostátními právními předpisy.</w:t>
      </w:r>
    </w:p>
    <w:p w14:paraId="5643BE36" w14:textId="77777777" w:rsidR="005E5812" w:rsidRPr="00AB6677" w:rsidRDefault="005E5812" w:rsidP="00CE1C16">
      <w:pPr>
        <w:numPr>
          <w:ilvl w:val="1"/>
          <w:numId w:val="1"/>
        </w:numPr>
        <w:spacing w:before="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Zajištění jednotného uplatňování</w:t>
      </w:r>
      <w:r w:rsidR="00342031">
        <w:rPr>
          <w:rFonts w:ascii="Times New Roman" w:hAnsi="Times New Roman"/>
          <w:color w:val="000000" w:themeColor="text1"/>
        </w:rPr>
        <w:t xml:space="preserve"> a </w:t>
      </w:r>
      <w:r>
        <w:rPr>
          <w:rFonts w:ascii="Times New Roman" w:hAnsi="Times New Roman"/>
          <w:color w:val="000000" w:themeColor="text1"/>
        </w:rPr>
        <w:t>výkladu dotčeného vnitrostátního práva.</w:t>
      </w:r>
    </w:p>
    <w:p w14:paraId="7FE4F8E0" w14:textId="77777777" w:rsidR="005E5812" w:rsidRPr="00F37899" w:rsidRDefault="005E5812" w:rsidP="00CE1C16">
      <w:pPr>
        <w:numPr>
          <w:ilvl w:val="1"/>
          <w:numId w:val="1"/>
        </w:numPr>
        <w:spacing w:before="60"/>
        <w:ind w:left="1434" w:hanging="357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Zajištění faktické nadřazenosti SDEU nad vnitrostátními soudy.</w:t>
      </w:r>
    </w:p>
    <w:p w14:paraId="0E2CB2B9" w14:textId="77777777" w:rsidR="005E5812" w:rsidRDefault="005E5812" w:rsidP="00CE1C16">
      <w:pPr>
        <w:spacing w:before="60"/>
        <w:rPr>
          <w:rFonts w:ascii="Times New Roman" w:eastAsia="Times New Roman" w:hAnsi="Times New Roman" w:cs="Times New Roman"/>
          <w:color w:val="000000" w:themeColor="text1"/>
        </w:rPr>
      </w:pPr>
    </w:p>
    <w:p w14:paraId="07861DFC" w14:textId="77777777" w:rsidR="00B9441A" w:rsidRPr="00B15CD9" w:rsidRDefault="00B9441A" w:rsidP="00CE1C16">
      <w:pPr>
        <w:spacing w:before="60"/>
        <w:rPr>
          <w:rFonts w:ascii="Times New Roman" w:eastAsia="Times New Roman" w:hAnsi="Times New Roman" w:cs="Times New Roman"/>
          <w:lang w:eastAsia="cs-CZ"/>
        </w:rPr>
      </w:pPr>
    </w:p>
    <w:p w14:paraId="63D114BC" w14:textId="114BE3BE" w:rsidR="005E5812" w:rsidRPr="00010AEB" w:rsidRDefault="005E5812" w:rsidP="00CE1C16">
      <w:pPr>
        <w:numPr>
          <w:ilvl w:val="0"/>
          <w:numId w:val="1"/>
        </w:numPr>
        <w:spacing w:before="60"/>
        <w:rPr>
          <w:rFonts w:ascii="Times New Roman" w:hAnsi="Times New Roman"/>
          <w:b/>
          <w:bCs/>
          <w:color w:val="153D63" w:themeColor="text2" w:themeTint="E6"/>
        </w:rPr>
      </w:pPr>
      <w:r w:rsidRPr="00010AEB">
        <w:rPr>
          <w:rFonts w:ascii="Times New Roman" w:hAnsi="Times New Roman"/>
          <w:b/>
          <w:bCs/>
          <w:color w:val="153D63" w:themeColor="text2" w:themeTint="E6"/>
        </w:rPr>
        <w:t>Které</w:t>
      </w:r>
      <w:r w:rsidR="00342031" w:rsidRPr="00010AEB">
        <w:rPr>
          <w:rFonts w:ascii="Times New Roman" w:hAnsi="Times New Roman"/>
          <w:b/>
          <w:bCs/>
          <w:color w:val="153D63" w:themeColor="text2" w:themeTint="E6"/>
        </w:rPr>
        <w:t xml:space="preserve"> z </w:t>
      </w:r>
      <w:r w:rsidRPr="00010AEB">
        <w:rPr>
          <w:rFonts w:ascii="Times New Roman" w:hAnsi="Times New Roman"/>
          <w:b/>
          <w:bCs/>
          <w:color w:val="153D63" w:themeColor="text2" w:themeTint="E6"/>
        </w:rPr>
        <w:t xml:space="preserve">následujících tvrzení je pravdivé </w:t>
      </w:r>
      <w:r w:rsidR="006173E0">
        <w:rPr>
          <w:rFonts w:ascii="Times New Roman" w:hAnsi="Times New Roman"/>
          <w:b/>
          <w:bCs/>
          <w:color w:val="153D63" w:themeColor="text2" w:themeTint="E6"/>
        </w:rPr>
        <w:t xml:space="preserve">/ </w:t>
      </w:r>
      <w:r w:rsidRPr="00010AEB">
        <w:rPr>
          <w:rFonts w:ascii="Times New Roman" w:hAnsi="Times New Roman"/>
          <w:b/>
          <w:bCs/>
          <w:color w:val="153D63" w:themeColor="text2" w:themeTint="E6"/>
        </w:rPr>
        <w:t>jsou pravdivá?</w:t>
      </w:r>
    </w:p>
    <w:p w14:paraId="67154C9B" w14:textId="77777777" w:rsidR="005E5812" w:rsidRPr="00AB6677" w:rsidRDefault="005E5812" w:rsidP="00CE1C16">
      <w:pPr>
        <w:numPr>
          <w:ilvl w:val="1"/>
          <w:numId w:val="2"/>
        </w:numPr>
        <w:spacing w:before="60"/>
        <w:ind w:left="1434" w:hanging="357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Listina je příkladem sekundárního unijního právního předpisu.</w:t>
      </w:r>
    </w:p>
    <w:p w14:paraId="3728CE1F" w14:textId="77777777" w:rsidR="005E5812" w:rsidRPr="00AB6677" w:rsidRDefault="005E5812" w:rsidP="00CE1C16">
      <w:pPr>
        <w:numPr>
          <w:ilvl w:val="1"/>
          <w:numId w:val="2"/>
        </w:numPr>
        <w:spacing w:before="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Listina nemá postavení primárního unijního právního předpisu.</w:t>
      </w:r>
    </w:p>
    <w:p w14:paraId="33783FBF" w14:textId="77777777" w:rsidR="005E5812" w:rsidRPr="00AB6677" w:rsidRDefault="005E5812" w:rsidP="00CE1C16">
      <w:pPr>
        <w:numPr>
          <w:ilvl w:val="1"/>
          <w:numId w:val="2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Listina upravuje úplně stejná práva jako EÚLP.</w:t>
      </w:r>
    </w:p>
    <w:p w14:paraId="3EEC3C32" w14:textId="394E1D7D" w:rsidR="00F37899" w:rsidRPr="00721939" w:rsidRDefault="005E5812" w:rsidP="00CE1C16">
      <w:pPr>
        <w:numPr>
          <w:ilvl w:val="1"/>
          <w:numId w:val="2"/>
        </w:numPr>
        <w:spacing w:before="60"/>
        <w:ind w:left="1434" w:hanging="357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Listina poskytuje (přinejmenším) stejnou úroveň ochrany jako EÚLP.</w:t>
      </w:r>
    </w:p>
    <w:p w14:paraId="71F2945A" w14:textId="77777777" w:rsidR="00F37899" w:rsidRDefault="00F37899" w:rsidP="00CE1C16">
      <w:pPr>
        <w:spacing w:before="60"/>
        <w:ind w:left="1434"/>
        <w:rPr>
          <w:rFonts w:ascii="Times New Roman" w:eastAsia="Times New Roman" w:hAnsi="Times New Roman" w:cs="Times New Roman"/>
          <w:color w:val="47D459" w:themeColor="accent3" w:themeTint="99"/>
        </w:rPr>
      </w:pPr>
    </w:p>
    <w:p w14:paraId="5A10AA68" w14:textId="77777777" w:rsidR="00F37899" w:rsidRPr="00F37899" w:rsidRDefault="00F37899" w:rsidP="00CE1C16">
      <w:pPr>
        <w:spacing w:before="60"/>
        <w:ind w:left="1434"/>
        <w:rPr>
          <w:rFonts w:ascii="Times New Roman" w:eastAsia="Times New Roman" w:hAnsi="Times New Roman" w:cs="Times New Roman"/>
          <w:color w:val="47D459" w:themeColor="accent3" w:themeTint="99"/>
        </w:rPr>
      </w:pPr>
    </w:p>
    <w:p w14:paraId="0A7BEB53" w14:textId="77777777" w:rsidR="005E5812" w:rsidRPr="00010AEB" w:rsidRDefault="005E5812" w:rsidP="00CE1C16">
      <w:pPr>
        <w:numPr>
          <w:ilvl w:val="0"/>
          <w:numId w:val="1"/>
        </w:numPr>
        <w:spacing w:before="60"/>
        <w:ind w:left="714" w:hanging="357"/>
        <w:rPr>
          <w:rFonts w:ascii="Times New Roman" w:hAnsi="Times New Roman"/>
          <w:b/>
          <w:bCs/>
          <w:color w:val="153D63" w:themeColor="text2" w:themeTint="E6"/>
        </w:rPr>
      </w:pPr>
      <w:r w:rsidRPr="00010AEB">
        <w:rPr>
          <w:rFonts w:ascii="Times New Roman" w:hAnsi="Times New Roman"/>
          <w:b/>
          <w:bCs/>
          <w:color w:val="153D63" w:themeColor="text2" w:themeTint="E6"/>
        </w:rPr>
        <w:t>V jaké situaci je Listina použitelná?</w:t>
      </w:r>
    </w:p>
    <w:p w14:paraId="4EFF7AC3" w14:textId="77777777" w:rsidR="005E5812" w:rsidRPr="00721939" w:rsidRDefault="005E5812" w:rsidP="00CE1C16">
      <w:pPr>
        <w:numPr>
          <w:ilvl w:val="1"/>
          <w:numId w:val="4"/>
        </w:numPr>
        <w:spacing w:before="60"/>
        <w:ind w:left="1434" w:hanging="357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Při provádění unijního práva.</w:t>
      </w:r>
    </w:p>
    <w:p w14:paraId="3A1559BD" w14:textId="77777777" w:rsidR="005E5812" w:rsidRPr="00AB6677" w:rsidRDefault="005E5812" w:rsidP="00CE1C16">
      <w:pPr>
        <w:numPr>
          <w:ilvl w:val="1"/>
          <w:numId w:val="4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Když je unijní právo prováděno pouze orgány EU.</w:t>
      </w:r>
    </w:p>
    <w:p w14:paraId="60208BC3" w14:textId="77777777" w:rsidR="005E5812" w:rsidRPr="00AB6677" w:rsidRDefault="005E5812" w:rsidP="00CE1C16">
      <w:pPr>
        <w:numPr>
          <w:ilvl w:val="1"/>
          <w:numId w:val="4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Listina je použitelná pouze</w:t>
      </w:r>
      <w:r w:rsidR="00342031">
        <w:rPr>
          <w:rFonts w:ascii="Times New Roman" w:hAnsi="Times New Roman"/>
        </w:rPr>
        <w:t xml:space="preserve"> v </w:t>
      </w:r>
      <w:r>
        <w:rPr>
          <w:rFonts w:ascii="Times New Roman" w:hAnsi="Times New Roman"/>
        </w:rPr>
        <w:t>situacích týkajících se občanů EU.</w:t>
      </w:r>
    </w:p>
    <w:p w14:paraId="49FC9CFD" w14:textId="77777777" w:rsidR="00BA7CCC" w:rsidRPr="00BA7CCC" w:rsidRDefault="005E5812" w:rsidP="00CE1C16">
      <w:pPr>
        <w:numPr>
          <w:ilvl w:val="1"/>
          <w:numId w:val="4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Listina je použitelná ve všech situacích týkajících se uplatňování práva na vnitrostátní úrovni.</w:t>
      </w:r>
    </w:p>
    <w:p w14:paraId="35035B88" w14:textId="77777777" w:rsidR="00BA7CCC" w:rsidRDefault="00BA7CCC" w:rsidP="00CE1C16">
      <w:pPr>
        <w:spacing w:before="60"/>
        <w:ind w:left="1440"/>
        <w:rPr>
          <w:rFonts w:ascii="Times New Roman" w:hAnsi="Times New Roman"/>
        </w:rPr>
      </w:pPr>
    </w:p>
    <w:p w14:paraId="606F0A94" w14:textId="77777777" w:rsidR="00BA7CCC" w:rsidRDefault="00BA7CCC" w:rsidP="00CE1C16">
      <w:pPr>
        <w:spacing w:before="60"/>
        <w:ind w:left="1440"/>
        <w:rPr>
          <w:rFonts w:ascii="Times New Roman" w:eastAsia="Times New Roman" w:hAnsi="Times New Roman" w:cs="Times New Roman"/>
        </w:rPr>
      </w:pPr>
    </w:p>
    <w:p w14:paraId="02AEAA1C" w14:textId="5EE878FD" w:rsidR="005E5812" w:rsidRPr="00BA7CCC" w:rsidRDefault="005E5812" w:rsidP="00CE1C16">
      <w:pPr>
        <w:pStyle w:val="Odstavecseseznamem"/>
        <w:numPr>
          <w:ilvl w:val="0"/>
          <w:numId w:val="1"/>
        </w:numPr>
        <w:spacing w:before="60"/>
        <w:rPr>
          <w:rFonts w:ascii="Times New Roman" w:eastAsia="Times New Roman" w:hAnsi="Times New Roman" w:cs="Times New Roman"/>
        </w:rPr>
      </w:pPr>
      <w:r w:rsidRPr="00BA7CCC">
        <w:rPr>
          <w:rFonts w:ascii="Times New Roman" w:hAnsi="Times New Roman"/>
          <w:b/>
          <w:bCs/>
          <w:color w:val="153D63" w:themeColor="text2" w:themeTint="E6"/>
        </w:rPr>
        <w:t>Zásada „užitečného účinku (</w:t>
      </w:r>
      <w:r w:rsidRPr="00BA7CCC">
        <w:rPr>
          <w:rFonts w:ascii="Times New Roman" w:hAnsi="Times New Roman"/>
          <w:b/>
          <w:bCs/>
          <w:i/>
          <w:iCs/>
          <w:color w:val="153D63" w:themeColor="text2" w:themeTint="E6"/>
        </w:rPr>
        <w:t>effet utile</w:t>
      </w:r>
      <w:r w:rsidRPr="00BA7CCC">
        <w:rPr>
          <w:rFonts w:ascii="Times New Roman" w:hAnsi="Times New Roman"/>
          <w:b/>
          <w:bCs/>
          <w:color w:val="153D63" w:themeColor="text2" w:themeTint="E6"/>
        </w:rPr>
        <w:t>)“:</w:t>
      </w:r>
    </w:p>
    <w:p w14:paraId="01C09A8A" w14:textId="77777777" w:rsidR="005E5812" w:rsidRPr="00721939" w:rsidRDefault="008C409E" w:rsidP="00CE1C16">
      <w:pPr>
        <w:numPr>
          <w:ilvl w:val="1"/>
          <w:numId w:val="5"/>
        </w:numPr>
        <w:spacing w:before="60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J</w:t>
      </w:r>
      <w:r w:rsidR="005E5812" w:rsidRPr="00721939">
        <w:rPr>
          <w:rFonts w:ascii="Times New Roman" w:hAnsi="Times New Roman"/>
        </w:rPr>
        <w:t>e formou výkladu Smluv</w:t>
      </w:r>
      <w:r w:rsidR="00342031" w:rsidRPr="00721939">
        <w:rPr>
          <w:rFonts w:ascii="Times New Roman" w:hAnsi="Times New Roman"/>
        </w:rPr>
        <w:t xml:space="preserve"> a </w:t>
      </w:r>
      <w:r w:rsidR="005E5812" w:rsidRPr="00721939">
        <w:rPr>
          <w:rFonts w:ascii="Times New Roman" w:hAnsi="Times New Roman"/>
        </w:rPr>
        <w:t>nástrojů sekundárního unijního práva.</w:t>
      </w:r>
    </w:p>
    <w:p w14:paraId="54F5539C" w14:textId="77777777" w:rsidR="005E5812" w:rsidRPr="00AB6677" w:rsidRDefault="008C409E" w:rsidP="00CE1C16">
      <w:pPr>
        <w:numPr>
          <w:ilvl w:val="1"/>
          <w:numId w:val="5"/>
        </w:numPr>
        <w:spacing w:before="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J</w:t>
      </w:r>
      <w:r w:rsidR="005E5812">
        <w:rPr>
          <w:rFonts w:ascii="Times New Roman" w:hAnsi="Times New Roman"/>
          <w:color w:val="000000" w:themeColor="text1"/>
        </w:rPr>
        <w:t>e obecnou zásadou mezinárodního práva veřejného.</w:t>
      </w:r>
    </w:p>
    <w:p w14:paraId="62957057" w14:textId="77777777" w:rsidR="005E5812" w:rsidRPr="00AB6677" w:rsidRDefault="008C409E" w:rsidP="00CE1C16">
      <w:pPr>
        <w:numPr>
          <w:ilvl w:val="1"/>
          <w:numId w:val="5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J</w:t>
      </w:r>
      <w:r w:rsidR="005E5812">
        <w:rPr>
          <w:rFonts w:ascii="Times New Roman" w:hAnsi="Times New Roman"/>
        </w:rPr>
        <w:t>e technikou dynamického výkladu právního textu se zaměřením na jeho předmět</w:t>
      </w:r>
      <w:r w:rsidR="00342031">
        <w:rPr>
          <w:rFonts w:ascii="Times New Roman" w:hAnsi="Times New Roman"/>
        </w:rPr>
        <w:t xml:space="preserve"> a </w:t>
      </w:r>
      <w:r w:rsidR="005E5812">
        <w:rPr>
          <w:rFonts w:ascii="Times New Roman" w:hAnsi="Times New Roman"/>
        </w:rPr>
        <w:t>účel.</w:t>
      </w:r>
    </w:p>
    <w:p w14:paraId="1A03A8A7" w14:textId="77777777" w:rsidR="00453BA8" w:rsidRPr="00F37899" w:rsidRDefault="008C409E" w:rsidP="00CE1C16">
      <w:pPr>
        <w:numPr>
          <w:ilvl w:val="1"/>
          <w:numId w:val="5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>T</w:t>
      </w:r>
      <w:r w:rsidR="005E5812">
        <w:rPr>
          <w:rFonts w:ascii="Times New Roman" w:hAnsi="Times New Roman"/>
        </w:rPr>
        <w:t xml:space="preserve">ýká </w:t>
      </w:r>
      <w:r>
        <w:rPr>
          <w:rFonts w:ascii="Times New Roman" w:hAnsi="Times New Roman"/>
        </w:rPr>
        <w:t xml:space="preserve">se </w:t>
      </w:r>
      <w:r w:rsidR="005E5812">
        <w:rPr>
          <w:rFonts w:ascii="Times New Roman" w:hAnsi="Times New Roman"/>
        </w:rPr>
        <w:t>otázek, které byly</w:t>
      </w:r>
      <w:r w:rsidR="00342031">
        <w:rPr>
          <w:rFonts w:ascii="Times New Roman" w:hAnsi="Times New Roman"/>
        </w:rPr>
        <w:t xml:space="preserve"> v </w:t>
      </w:r>
      <w:r w:rsidR="005E5812">
        <w:rPr>
          <w:rFonts w:ascii="Times New Roman" w:hAnsi="Times New Roman"/>
        </w:rPr>
        <w:t>minulosti předmětem řízení,</w:t>
      </w:r>
      <w:r w:rsidR="00342031">
        <w:rPr>
          <w:rFonts w:ascii="Times New Roman" w:hAnsi="Times New Roman"/>
        </w:rPr>
        <w:t xml:space="preserve"> v </w:t>
      </w:r>
      <w:r w:rsidR="005E5812">
        <w:rPr>
          <w:rFonts w:ascii="Times New Roman" w:hAnsi="Times New Roman"/>
        </w:rPr>
        <w:t>rámci něhož se rozhodovalo</w:t>
      </w:r>
      <w:r w:rsidR="00342031">
        <w:rPr>
          <w:rFonts w:ascii="Times New Roman" w:hAnsi="Times New Roman"/>
        </w:rPr>
        <w:t xml:space="preserve"> o </w:t>
      </w:r>
      <w:r w:rsidR="005E5812">
        <w:rPr>
          <w:rFonts w:ascii="Times New Roman" w:hAnsi="Times New Roman"/>
        </w:rPr>
        <w:t>předběžné otázce</w:t>
      </w:r>
      <w:r w:rsidR="00342031">
        <w:rPr>
          <w:rFonts w:ascii="Times New Roman" w:hAnsi="Times New Roman"/>
        </w:rPr>
        <w:t xml:space="preserve"> v </w:t>
      </w:r>
      <w:r w:rsidR="005E5812">
        <w:rPr>
          <w:rFonts w:ascii="Times New Roman" w:hAnsi="Times New Roman"/>
        </w:rPr>
        <w:t>obdobné věci (známé také jako „</w:t>
      </w:r>
      <w:r w:rsidR="005E5812">
        <w:rPr>
          <w:rFonts w:ascii="Times New Roman" w:hAnsi="Times New Roman"/>
          <w:i/>
          <w:iCs/>
        </w:rPr>
        <w:t>acte éclairé</w:t>
      </w:r>
      <w:r w:rsidR="005E5812">
        <w:rPr>
          <w:rFonts w:ascii="Times New Roman" w:hAnsi="Times New Roman"/>
        </w:rPr>
        <w:t>“).</w:t>
      </w:r>
    </w:p>
    <w:p w14:paraId="1969C97D" w14:textId="77777777" w:rsidR="00453BA8" w:rsidRPr="00B15CD9" w:rsidRDefault="00453BA8" w:rsidP="00412F0D">
      <w:pPr>
        <w:spacing w:beforeLines="120" w:before="288"/>
        <w:rPr>
          <w:rFonts w:ascii="Times New Roman" w:eastAsia="Times New Roman" w:hAnsi="Times New Roman" w:cs="Times New Roman"/>
          <w:lang w:eastAsia="cs-CZ"/>
        </w:rPr>
      </w:pPr>
    </w:p>
    <w:p w14:paraId="0A638A71" w14:textId="77777777" w:rsidR="00453BA8" w:rsidRPr="00A34671" w:rsidRDefault="00453BA8" w:rsidP="00412F0D">
      <w:pPr>
        <w:pStyle w:val="Odstavecseseznamem"/>
        <w:numPr>
          <w:ilvl w:val="0"/>
          <w:numId w:val="13"/>
        </w:numPr>
        <w:spacing w:beforeLines="120" w:before="288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Soudy členských států (vnitrostátní soudy) mohou:</w:t>
      </w:r>
    </w:p>
    <w:p w14:paraId="27C2D636" w14:textId="77777777" w:rsidR="00453BA8" w:rsidRPr="00412F0D" w:rsidRDefault="008C409E" w:rsidP="00412F0D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412F0D">
        <w:rPr>
          <w:rFonts w:ascii="Times New Roman" w:hAnsi="Times New Roman"/>
        </w:rPr>
        <w:t>P</w:t>
      </w:r>
      <w:r w:rsidR="00453BA8" w:rsidRPr="00412F0D">
        <w:rPr>
          <w:rFonts w:ascii="Times New Roman" w:hAnsi="Times New Roman"/>
        </w:rPr>
        <w:t>rohlásit směrnici EU za neplatnou.</w:t>
      </w:r>
    </w:p>
    <w:p w14:paraId="78A0A231" w14:textId="77777777" w:rsidR="00453BA8" w:rsidRPr="00721939" w:rsidRDefault="008C409E" w:rsidP="00412F0D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721939">
        <w:rPr>
          <w:rFonts w:ascii="Times New Roman" w:hAnsi="Times New Roman"/>
        </w:rPr>
        <w:t>S</w:t>
      </w:r>
      <w:r w:rsidR="00453BA8" w:rsidRPr="00721939">
        <w:rPr>
          <w:rFonts w:ascii="Times New Roman" w:hAnsi="Times New Roman"/>
        </w:rPr>
        <w:t>amostatně uplatňovat unijního práva.</w:t>
      </w:r>
    </w:p>
    <w:p w14:paraId="457B2411" w14:textId="77777777" w:rsidR="00453BA8" w:rsidRPr="00412F0D" w:rsidRDefault="008C409E" w:rsidP="00412F0D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412F0D">
        <w:rPr>
          <w:rFonts w:ascii="Times New Roman" w:hAnsi="Times New Roman"/>
        </w:rPr>
        <w:t>P</w:t>
      </w:r>
      <w:r w:rsidR="00453BA8" w:rsidRPr="00412F0D">
        <w:rPr>
          <w:rFonts w:ascii="Times New Roman" w:hAnsi="Times New Roman"/>
        </w:rPr>
        <w:t>ředkládat žádosti</w:t>
      </w:r>
      <w:r w:rsidR="00342031" w:rsidRPr="00412F0D">
        <w:rPr>
          <w:rFonts w:ascii="Times New Roman" w:hAnsi="Times New Roman"/>
        </w:rPr>
        <w:t xml:space="preserve"> o </w:t>
      </w:r>
      <w:r w:rsidR="00453BA8" w:rsidRPr="00412F0D">
        <w:rPr>
          <w:rFonts w:ascii="Times New Roman" w:hAnsi="Times New Roman"/>
        </w:rPr>
        <w:t>rozhodnutí</w:t>
      </w:r>
      <w:r w:rsidR="00342031" w:rsidRPr="00412F0D">
        <w:rPr>
          <w:rFonts w:ascii="Times New Roman" w:hAnsi="Times New Roman"/>
        </w:rPr>
        <w:t xml:space="preserve"> o </w:t>
      </w:r>
      <w:r w:rsidR="00453BA8" w:rsidRPr="00412F0D">
        <w:rPr>
          <w:rFonts w:ascii="Times New Roman" w:hAnsi="Times New Roman"/>
        </w:rPr>
        <w:t>předběžných otázkách Soudnímu dvoru podle článku 267 SFEU – to však vždy záleží na uvážení vnitrostátních soudů.</w:t>
      </w:r>
    </w:p>
    <w:p w14:paraId="20237A2B" w14:textId="77777777" w:rsidR="00453BA8" w:rsidRPr="00412F0D" w:rsidRDefault="008C409E" w:rsidP="00412F0D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412F0D">
        <w:rPr>
          <w:rFonts w:ascii="Times New Roman" w:hAnsi="Times New Roman"/>
        </w:rPr>
        <w:t>Z</w:t>
      </w:r>
      <w:r w:rsidR="00453BA8" w:rsidRPr="00412F0D">
        <w:rPr>
          <w:rFonts w:ascii="Times New Roman" w:hAnsi="Times New Roman"/>
        </w:rPr>
        <w:t>rušit platnost nařízení EU, pokud je</w:t>
      </w:r>
      <w:r w:rsidR="00342031" w:rsidRPr="00412F0D">
        <w:rPr>
          <w:rFonts w:ascii="Times New Roman" w:hAnsi="Times New Roman"/>
        </w:rPr>
        <w:t xml:space="preserve"> v </w:t>
      </w:r>
      <w:r w:rsidR="00453BA8" w:rsidRPr="00412F0D">
        <w:rPr>
          <w:rFonts w:ascii="Times New Roman" w:hAnsi="Times New Roman"/>
        </w:rPr>
        <w:t>rozporu se Smlouvou</w:t>
      </w:r>
      <w:r w:rsidR="00342031" w:rsidRPr="00412F0D">
        <w:rPr>
          <w:rFonts w:ascii="Times New Roman" w:hAnsi="Times New Roman"/>
        </w:rPr>
        <w:t xml:space="preserve"> o </w:t>
      </w:r>
      <w:r w:rsidR="00453BA8" w:rsidRPr="00412F0D">
        <w:rPr>
          <w:rFonts w:ascii="Times New Roman" w:hAnsi="Times New Roman"/>
        </w:rPr>
        <w:t>fungování Evropské unie.</w:t>
      </w:r>
    </w:p>
    <w:p w14:paraId="19E6159E" w14:textId="77777777" w:rsidR="00F37899" w:rsidRPr="00AB6677" w:rsidRDefault="00F37899" w:rsidP="00412F0D">
      <w:pPr>
        <w:spacing w:before="60"/>
        <w:rPr>
          <w:rFonts w:ascii="Times New Roman" w:eastAsia="Times New Roman" w:hAnsi="Times New Roman" w:cs="Times New Roman"/>
        </w:rPr>
      </w:pPr>
    </w:p>
    <w:p w14:paraId="2F536099" w14:textId="77777777" w:rsidR="00453BA8" w:rsidRPr="00A413B4" w:rsidRDefault="00453BA8" w:rsidP="00412F0D">
      <w:pPr>
        <w:spacing w:before="60"/>
        <w:ind w:left="1440"/>
        <w:rPr>
          <w:rFonts w:ascii="Times New Roman" w:eastAsia="Times New Roman" w:hAnsi="Times New Roman" w:cs="Times New Roman"/>
          <w:b/>
          <w:bCs/>
          <w:color w:val="153D63" w:themeColor="text2" w:themeTint="E6"/>
          <w:lang w:eastAsia="cs-CZ"/>
        </w:rPr>
      </w:pPr>
    </w:p>
    <w:p w14:paraId="2CAD92D1" w14:textId="77777777" w:rsidR="00453BA8" w:rsidRPr="00A34671" w:rsidRDefault="00453BA8" w:rsidP="00412F0D">
      <w:pPr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 xml:space="preserve">Ve věci </w:t>
      </w:r>
      <w:r w:rsidRPr="00A34671">
        <w:rPr>
          <w:rFonts w:ascii="Times New Roman" w:hAnsi="Times New Roman"/>
          <w:b/>
          <w:bCs/>
          <w:i/>
          <w:color w:val="153D63" w:themeColor="text2" w:themeTint="E6"/>
        </w:rPr>
        <w:t>Solange I</w:t>
      </w:r>
      <w:r w:rsidRPr="00A34671">
        <w:rPr>
          <w:rFonts w:ascii="Times New Roman" w:hAnsi="Times New Roman"/>
          <w:b/>
          <w:bCs/>
          <w:color w:val="153D63" w:themeColor="text2" w:themeTint="E6"/>
        </w:rPr>
        <w:t xml:space="preserve"> SDEU rozhodl</w:t>
      </w:r>
      <w:r w:rsidR="00342031" w:rsidRPr="00A34671">
        <w:rPr>
          <w:rFonts w:ascii="Times New Roman" w:hAnsi="Times New Roman"/>
          <w:b/>
          <w:bCs/>
          <w:color w:val="153D63" w:themeColor="text2" w:themeTint="E6"/>
        </w:rPr>
        <w:t xml:space="preserve"> a </w:t>
      </w:r>
      <w:r w:rsidRPr="00A34671">
        <w:rPr>
          <w:rFonts w:ascii="Times New Roman" w:hAnsi="Times New Roman"/>
          <w:b/>
          <w:bCs/>
          <w:color w:val="153D63" w:themeColor="text2" w:themeTint="E6"/>
        </w:rPr>
        <w:t>potvrdil, že:</w:t>
      </w:r>
    </w:p>
    <w:p w14:paraId="19E62F79" w14:textId="77777777" w:rsidR="00453BA8" w:rsidRPr="00721939" w:rsidRDefault="008C409E" w:rsidP="00412F0D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D</w:t>
      </w:r>
      <w:r w:rsidR="00453BA8" w:rsidRPr="00721939">
        <w:rPr>
          <w:rFonts w:ascii="Times New Roman" w:hAnsi="Times New Roman"/>
        </w:rPr>
        <w:t>održování základních práv je nedílnou součástí obecných zásad unijního práva.</w:t>
      </w:r>
    </w:p>
    <w:p w14:paraId="2EB7FCBD" w14:textId="77777777" w:rsidR="00453BA8" w:rsidRPr="00AB6677" w:rsidRDefault="008C409E" w:rsidP="00412F0D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V</w:t>
      </w:r>
      <w:r w:rsidR="00453BA8">
        <w:rPr>
          <w:rFonts w:ascii="Times New Roman" w:hAnsi="Times New Roman"/>
          <w:color w:val="000000" w:themeColor="text1"/>
        </w:rPr>
        <w:t>nitrostátní právní předpisy mohou být „kontrolním parametrem“ unijního práva.</w:t>
      </w:r>
    </w:p>
    <w:p w14:paraId="6367B8F2" w14:textId="77777777" w:rsidR="00453BA8" w:rsidRPr="00AB6677" w:rsidRDefault="008C409E" w:rsidP="00412F0D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U</w:t>
      </w:r>
      <w:r w:rsidR="00453BA8">
        <w:rPr>
          <w:rFonts w:ascii="Times New Roman" w:hAnsi="Times New Roman"/>
        </w:rPr>
        <w:t>nijní právo není nezávislým pramenem práva.</w:t>
      </w:r>
    </w:p>
    <w:p w14:paraId="1D2F1766" w14:textId="77777777" w:rsidR="00453BA8" w:rsidRPr="00F37899" w:rsidRDefault="008C409E" w:rsidP="00412F0D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O</w:t>
      </w:r>
      <w:r w:rsidR="00AB6677">
        <w:rPr>
          <w:rFonts w:ascii="Times New Roman" w:hAnsi="Times New Roman"/>
        </w:rPr>
        <w:t>bsah unijního práva je dán výlučně obsahem vnitrostátních právních předpisů členských států.</w:t>
      </w:r>
    </w:p>
    <w:p w14:paraId="3F113A6A" w14:textId="77777777" w:rsidR="00F37899" w:rsidRPr="00AB6677" w:rsidRDefault="00F37899" w:rsidP="00CE1C16">
      <w:pPr>
        <w:spacing w:before="60"/>
        <w:ind w:left="1440"/>
        <w:rPr>
          <w:rFonts w:ascii="Times New Roman" w:eastAsia="Times New Roman" w:hAnsi="Times New Roman" w:cs="Times New Roman"/>
        </w:rPr>
      </w:pPr>
    </w:p>
    <w:p w14:paraId="32A164B8" w14:textId="77777777" w:rsidR="00453BA8" w:rsidRPr="00B15CD9" w:rsidRDefault="00453BA8" w:rsidP="00CE1C16">
      <w:pPr>
        <w:spacing w:before="60"/>
        <w:ind w:left="1440"/>
        <w:rPr>
          <w:rFonts w:ascii="Times New Roman" w:eastAsia="Times New Roman" w:hAnsi="Times New Roman" w:cs="Times New Roman"/>
          <w:lang w:eastAsia="cs-CZ"/>
        </w:rPr>
      </w:pPr>
    </w:p>
    <w:p w14:paraId="74A1B750" w14:textId="77777777" w:rsidR="00453BA8" w:rsidRPr="00A34671" w:rsidRDefault="00453BA8" w:rsidP="00CE1C16">
      <w:pPr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Některá práva zaručená Listinou se vztahují pouze na občany EU.</w:t>
      </w:r>
    </w:p>
    <w:p w14:paraId="7B027B69" w14:textId="77777777" w:rsidR="00453BA8" w:rsidRPr="00721939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Pravd</w:t>
      </w:r>
      <w:r w:rsidR="004C1B7C" w:rsidRPr="00721939">
        <w:rPr>
          <w:rFonts w:ascii="Times New Roman" w:hAnsi="Times New Roman"/>
        </w:rPr>
        <w:t>a</w:t>
      </w:r>
    </w:p>
    <w:p w14:paraId="29455505" w14:textId="77777777" w:rsidR="00453BA8" w:rsidRPr="00F37899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Nepravd</w:t>
      </w:r>
      <w:r w:rsidR="004C1B7C">
        <w:rPr>
          <w:rFonts w:ascii="Times New Roman" w:hAnsi="Times New Roman"/>
        </w:rPr>
        <w:t>a</w:t>
      </w:r>
    </w:p>
    <w:p w14:paraId="393B6FFB" w14:textId="77777777" w:rsidR="00F37899" w:rsidRPr="00AB6677" w:rsidRDefault="00F37899" w:rsidP="00CE1C16">
      <w:pPr>
        <w:spacing w:before="60"/>
        <w:ind w:left="1440"/>
        <w:rPr>
          <w:rFonts w:ascii="Times New Roman" w:eastAsia="Times New Roman" w:hAnsi="Times New Roman" w:cs="Times New Roman"/>
        </w:rPr>
      </w:pPr>
    </w:p>
    <w:p w14:paraId="63DB6D9E" w14:textId="77777777" w:rsidR="00453BA8" w:rsidRPr="00AB6677" w:rsidRDefault="00453BA8" w:rsidP="00CE1C16">
      <w:pPr>
        <w:spacing w:before="60"/>
        <w:ind w:left="1440"/>
        <w:rPr>
          <w:rFonts w:ascii="Times New Roman" w:eastAsia="Times New Roman" w:hAnsi="Times New Roman" w:cs="Times New Roman"/>
          <w:lang w:val="en-US" w:eastAsia="cs-CZ"/>
        </w:rPr>
      </w:pPr>
    </w:p>
    <w:p w14:paraId="74092734" w14:textId="77777777" w:rsidR="00453BA8" w:rsidRPr="00A34671" w:rsidRDefault="00453BA8" w:rsidP="00CE1C16">
      <w:pPr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Všechna práva zaručená Listinou podléhají upřesnění ve vnitrostátních právních předpisech členských států,</w:t>
      </w:r>
      <w:r w:rsidR="00342031" w:rsidRPr="00A34671">
        <w:rPr>
          <w:rFonts w:ascii="Times New Roman" w:hAnsi="Times New Roman"/>
          <w:b/>
          <w:bCs/>
          <w:color w:val="153D63" w:themeColor="text2" w:themeTint="E6"/>
        </w:rPr>
        <w:t xml:space="preserve"> a </w:t>
      </w:r>
      <w:r w:rsidRPr="00A34671">
        <w:rPr>
          <w:rFonts w:ascii="Times New Roman" w:hAnsi="Times New Roman"/>
          <w:b/>
          <w:bCs/>
          <w:color w:val="153D63" w:themeColor="text2" w:themeTint="E6"/>
        </w:rPr>
        <w:t>proto také podléhají omezení jejich působnosti.</w:t>
      </w:r>
    </w:p>
    <w:p w14:paraId="1E31E9CF" w14:textId="77777777" w:rsidR="00453BA8" w:rsidRPr="00AB6677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Pravd</w:t>
      </w:r>
      <w:r w:rsidR="004C1B7C">
        <w:rPr>
          <w:rFonts w:ascii="Times New Roman" w:hAnsi="Times New Roman"/>
          <w:color w:val="000000" w:themeColor="text1"/>
        </w:rPr>
        <w:t>a</w:t>
      </w:r>
    </w:p>
    <w:p w14:paraId="7BE35DAC" w14:textId="77777777" w:rsidR="00453BA8" w:rsidRPr="00721939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Nepravd</w:t>
      </w:r>
      <w:r w:rsidR="004C1B7C" w:rsidRPr="00721939">
        <w:rPr>
          <w:rFonts w:ascii="Times New Roman" w:hAnsi="Times New Roman"/>
        </w:rPr>
        <w:t>a</w:t>
      </w:r>
    </w:p>
    <w:p w14:paraId="290E0568" w14:textId="77777777" w:rsidR="00F37899" w:rsidRPr="00AB6677" w:rsidRDefault="00F37899" w:rsidP="00CE1C16">
      <w:pPr>
        <w:spacing w:before="60"/>
        <w:ind w:left="1440"/>
        <w:rPr>
          <w:rFonts w:ascii="Times New Roman" w:eastAsia="Times New Roman" w:hAnsi="Times New Roman" w:cs="Times New Roman"/>
          <w:color w:val="4EA72E" w:themeColor="accent6"/>
        </w:rPr>
      </w:pPr>
    </w:p>
    <w:p w14:paraId="1B343F28" w14:textId="77777777" w:rsidR="00F37899" w:rsidRPr="00AB6677" w:rsidRDefault="00F37899" w:rsidP="00CE1C16">
      <w:pPr>
        <w:spacing w:before="60"/>
        <w:ind w:left="1440"/>
        <w:rPr>
          <w:rFonts w:ascii="Times New Roman" w:eastAsia="Times New Roman" w:hAnsi="Times New Roman" w:cs="Times New Roman"/>
          <w:lang w:val="en-US" w:eastAsia="cs-CZ"/>
        </w:rPr>
      </w:pPr>
    </w:p>
    <w:p w14:paraId="3C94D2DB" w14:textId="335D208C" w:rsidR="00453BA8" w:rsidRPr="00A34671" w:rsidRDefault="00453BA8" w:rsidP="00CE1C16">
      <w:pPr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Právo na soukromý</w:t>
      </w:r>
      <w:r w:rsidR="00342031" w:rsidRPr="00A34671">
        <w:rPr>
          <w:rFonts w:ascii="Times New Roman" w:hAnsi="Times New Roman"/>
          <w:b/>
          <w:bCs/>
          <w:color w:val="153D63" w:themeColor="text2" w:themeTint="E6"/>
        </w:rPr>
        <w:t xml:space="preserve"> a </w:t>
      </w:r>
      <w:r w:rsidRPr="00A34671">
        <w:rPr>
          <w:rFonts w:ascii="Times New Roman" w:hAnsi="Times New Roman"/>
          <w:b/>
          <w:bCs/>
          <w:color w:val="153D63" w:themeColor="text2" w:themeTint="E6"/>
        </w:rPr>
        <w:t>rodinný život podle článku 7 Listiny je absolutním právem.</w:t>
      </w:r>
    </w:p>
    <w:p w14:paraId="3469F7B9" w14:textId="77777777" w:rsidR="00453BA8" w:rsidRPr="00AB6677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Pravd</w:t>
      </w:r>
      <w:r w:rsidR="004C1B7C">
        <w:rPr>
          <w:rFonts w:ascii="Times New Roman" w:hAnsi="Times New Roman"/>
        </w:rPr>
        <w:t>a</w:t>
      </w:r>
    </w:p>
    <w:p w14:paraId="15466CE2" w14:textId="4C10CA10" w:rsidR="004C1B7C" w:rsidRPr="00721939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Nepravd</w:t>
      </w:r>
      <w:r w:rsidR="004C1B7C" w:rsidRPr="00721939">
        <w:rPr>
          <w:rFonts w:ascii="Times New Roman" w:hAnsi="Times New Roman"/>
        </w:rPr>
        <w:t>a</w:t>
      </w:r>
    </w:p>
    <w:p w14:paraId="7A2DAD64" w14:textId="77777777" w:rsidR="00F37899" w:rsidRDefault="00F37899" w:rsidP="00CE1C16">
      <w:pPr>
        <w:spacing w:before="60"/>
        <w:ind w:left="1440"/>
        <w:rPr>
          <w:rFonts w:ascii="Times New Roman" w:eastAsia="Times New Roman" w:hAnsi="Times New Roman" w:cs="Times New Roman"/>
          <w:color w:val="4EA72E" w:themeColor="accent6"/>
        </w:rPr>
      </w:pPr>
    </w:p>
    <w:p w14:paraId="07577579" w14:textId="77777777" w:rsidR="00A34671" w:rsidRPr="00A34671" w:rsidRDefault="00A34671" w:rsidP="00CE1C16">
      <w:pPr>
        <w:spacing w:before="60"/>
        <w:ind w:left="1440"/>
        <w:rPr>
          <w:rFonts w:ascii="Times New Roman" w:eastAsia="Times New Roman" w:hAnsi="Times New Roman" w:cs="Times New Roman"/>
          <w:color w:val="4EA72E" w:themeColor="accent6"/>
        </w:rPr>
      </w:pPr>
    </w:p>
    <w:p w14:paraId="49CBC569" w14:textId="77777777" w:rsidR="00453BA8" w:rsidRPr="00A34671" w:rsidRDefault="00453BA8" w:rsidP="00CE1C16">
      <w:pPr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Zákaz mučení podle článku 4 Listiny je absolutním právem.</w:t>
      </w:r>
    </w:p>
    <w:p w14:paraId="29612689" w14:textId="77777777" w:rsidR="00453BA8" w:rsidRPr="00721939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Pravd</w:t>
      </w:r>
      <w:r w:rsidR="004C1B7C" w:rsidRPr="00721939">
        <w:rPr>
          <w:rFonts w:ascii="Times New Roman" w:hAnsi="Times New Roman"/>
        </w:rPr>
        <w:t>a</w:t>
      </w:r>
    </w:p>
    <w:p w14:paraId="0F1023FF" w14:textId="77777777" w:rsidR="00453BA8" w:rsidRPr="00F37899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lastRenderedPageBreak/>
        <w:t>Nepravd</w:t>
      </w:r>
      <w:r w:rsidR="004C1B7C">
        <w:rPr>
          <w:rFonts w:ascii="Times New Roman" w:hAnsi="Times New Roman"/>
        </w:rPr>
        <w:t>a</w:t>
      </w:r>
    </w:p>
    <w:p w14:paraId="5654E80D" w14:textId="77777777" w:rsidR="00F37899" w:rsidRPr="00AB6677" w:rsidRDefault="00F37899" w:rsidP="00CE1C16">
      <w:pPr>
        <w:spacing w:before="60"/>
        <w:ind w:left="1440"/>
        <w:rPr>
          <w:rFonts w:ascii="Times New Roman" w:eastAsia="Times New Roman" w:hAnsi="Times New Roman" w:cs="Times New Roman"/>
        </w:rPr>
      </w:pPr>
    </w:p>
    <w:p w14:paraId="7941B963" w14:textId="77777777" w:rsidR="00453BA8" w:rsidRPr="00AB6677" w:rsidRDefault="00453BA8" w:rsidP="00CE1C16">
      <w:pPr>
        <w:spacing w:before="60"/>
        <w:ind w:left="1440"/>
        <w:rPr>
          <w:rFonts w:ascii="Times New Roman" w:eastAsia="Times New Roman" w:hAnsi="Times New Roman" w:cs="Times New Roman"/>
          <w:lang w:val="en-US" w:eastAsia="cs-CZ"/>
        </w:rPr>
      </w:pPr>
    </w:p>
    <w:p w14:paraId="6971FD4E" w14:textId="77777777" w:rsidR="00453BA8" w:rsidRPr="00A34671" w:rsidRDefault="00453BA8" w:rsidP="00CE1C16">
      <w:pPr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Nadřazenost unijního práva zahrnuje:</w:t>
      </w:r>
    </w:p>
    <w:p w14:paraId="550F7A5E" w14:textId="77777777" w:rsidR="00453BA8" w:rsidRPr="00AB6677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Možnost vždy se dovolávat unijního práva</w:t>
      </w:r>
      <w:r w:rsidR="00342031">
        <w:rPr>
          <w:rFonts w:ascii="Times New Roman" w:hAnsi="Times New Roman"/>
        </w:rPr>
        <w:t xml:space="preserve"> v </w:t>
      </w:r>
      <w:r>
        <w:rPr>
          <w:rFonts w:ascii="Times New Roman" w:hAnsi="Times New Roman"/>
        </w:rPr>
        <w:t>řízení před vnitrostátním soudem.</w:t>
      </w:r>
    </w:p>
    <w:p w14:paraId="4DD64A9B" w14:textId="77777777" w:rsidR="00453BA8" w:rsidRPr="00AB6677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Absolutní působnost </w:t>
      </w:r>
      <w:r>
        <w:rPr>
          <w:rFonts w:ascii="Times New Roman" w:hAnsi="Times New Roman"/>
          <w:i/>
          <w:iCs/>
        </w:rPr>
        <w:t>rationae materiae</w:t>
      </w:r>
      <w:r>
        <w:rPr>
          <w:rFonts w:ascii="Times New Roman" w:hAnsi="Times New Roman"/>
        </w:rPr>
        <w:t xml:space="preserve"> SDEU.</w:t>
      </w:r>
    </w:p>
    <w:p w14:paraId="30F8E9B6" w14:textId="77777777" w:rsidR="00453BA8" w:rsidRPr="00721939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 w:rsidRPr="00721939">
        <w:rPr>
          <w:rFonts w:ascii="Times New Roman" w:hAnsi="Times New Roman"/>
        </w:rPr>
        <w:t>Skutečnost, že unijní právo má přednost před vnitrostátními právními předpisy</w:t>
      </w:r>
      <w:r w:rsidR="00342031" w:rsidRPr="00721939">
        <w:rPr>
          <w:rFonts w:ascii="Times New Roman" w:hAnsi="Times New Roman"/>
        </w:rPr>
        <w:t xml:space="preserve"> v </w:t>
      </w:r>
      <w:r w:rsidRPr="00721939">
        <w:rPr>
          <w:rFonts w:ascii="Times New Roman" w:hAnsi="Times New Roman"/>
        </w:rPr>
        <w:t>případě jejich rozporu.</w:t>
      </w:r>
    </w:p>
    <w:p w14:paraId="582AB6F2" w14:textId="77777777" w:rsidR="00453BA8" w:rsidRPr="00F37899" w:rsidRDefault="00453BA8" w:rsidP="00CE1C16">
      <w:pPr>
        <w:numPr>
          <w:ilvl w:val="1"/>
          <w:numId w:val="13"/>
        </w:numPr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Ztrátu suverenity členských států.</w:t>
      </w:r>
    </w:p>
    <w:p w14:paraId="6954D235" w14:textId="77777777" w:rsidR="00F37899" w:rsidRPr="00AB6677" w:rsidRDefault="00F37899" w:rsidP="00CE1C16">
      <w:pPr>
        <w:spacing w:before="60"/>
        <w:rPr>
          <w:rFonts w:ascii="Times New Roman" w:eastAsia="Times New Roman" w:hAnsi="Times New Roman" w:cs="Times New Roman"/>
        </w:rPr>
      </w:pPr>
    </w:p>
    <w:p w14:paraId="38884E9F" w14:textId="77777777" w:rsidR="00453BA8" w:rsidRPr="00B15CD9" w:rsidRDefault="00453BA8" w:rsidP="00CE1C16">
      <w:pPr>
        <w:spacing w:before="60"/>
        <w:ind w:left="1440"/>
        <w:rPr>
          <w:rFonts w:ascii="Times New Roman" w:eastAsia="Times New Roman" w:hAnsi="Times New Roman" w:cs="Times New Roman"/>
          <w:lang w:eastAsia="cs-CZ"/>
        </w:rPr>
      </w:pPr>
    </w:p>
    <w:p w14:paraId="603D0420" w14:textId="77777777" w:rsidR="00453BA8" w:rsidRPr="00A34671" w:rsidRDefault="00453BA8" w:rsidP="00CE1C16">
      <w:pPr>
        <w:pStyle w:val="Odstavecseseznamem"/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Práva zaručená Listinou mohou být omezena za předpokladu, že:</w:t>
      </w:r>
    </w:p>
    <w:p w14:paraId="1FD41BB7" w14:textId="77777777" w:rsidR="00453BA8" w:rsidRPr="00160053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Takové omezení je stanoveno sekundárními unijními právními předpisy.</w:t>
      </w:r>
    </w:p>
    <w:p w14:paraId="2737F806" w14:textId="77777777" w:rsidR="00453BA8" w:rsidRPr="00721939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721939">
        <w:rPr>
          <w:rFonts w:ascii="Times New Roman" w:hAnsi="Times New Roman"/>
        </w:rPr>
        <w:t>Takové omezení je stanoveno zákonem, je nezbytné</w:t>
      </w:r>
      <w:r w:rsidR="00342031" w:rsidRPr="00721939">
        <w:rPr>
          <w:rFonts w:ascii="Times New Roman" w:hAnsi="Times New Roman"/>
        </w:rPr>
        <w:t xml:space="preserve"> a </w:t>
      </w:r>
      <w:r w:rsidRPr="00721939">
        <w:rPr>
          <w:rFonts w:ascii="Times New Roman" w:hAnsi="Times New Roman"/>
        </w:rPr>
        <w:t>jeho cílem je obecný zájem.</w:t>
      </w:r>
    </w:p>
    <w:p w14:paraId="2932CF07" w14:textId="77777777" w:rsidR="00453BA8" w:rsidRPr="00160053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Takové omezení je</w:t>
      </w:r>
      <w:r w:rsidR="00342031" w:rsidRPr="00160053">
        <w:rPr>
          <w:rFonts w:ascii="Times New Roman" w:hAnsi="Times New Roman"/>
        </w:rPr>
        <w:t xml:space="preserve"> v </w:t>
      </w:r>
      <w:r w:rsidRPr="00160053">
        <w:rPr>
          <w:rFonts w:ascii="Times New Roman" w:hAnsi="Times New Roman"/>
        </w:rPr>
        <w:t>souladu se zásadou nepřiměřenosti.</w:t>
      </w:r>
    </w:p>
    <w:p w14:paraId="0EEBB5BC" w14:textId="059D7FD1" w:rsidR="004C1B7C" w:rsidRPr="00160053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Takové omezení je předem schváleno Unií.</w:t>
      </w:r>
    </w:p>
    <w:p w14:paraId="03A7A8A0" w14:textId="77777777" w:rsidR="004C1B7C" w:rsidRPr="00A413B4" w:rsidRDefault="004C1B7C" w:rsidP="00CE1C16">
      <w:pPr>
        <w:pStyle w:val="Odstavecseseznamem"/>
        <w:spacing w:before="60"/>
        <w:ind w:left="1440"/>
        <w:jc w:val="both"/>
        <w:rPr>
          <w:rFonts w:ascii="Times New Roman" w:eastAsia="Times New Roman" w:hAnsi="Times New Roman" w:cs="Times New Roman"/>
          <w:color w:val="4EA72E" w:themeColor="accent6"/>
          <w:lang w:eastAsia="cs-CZ"/>
        </w:rPr>
      </w:pPr>
    </w:p>
    <w:p w14:paraId="51FCB80E" w14:textId="77777777" w:rsidR="004C1B7C" w:rsidRPr="00A413B4" w:rsidRDefault="004C1B7C" w:rsidP="00CE1C16">
      <w:pPr>
        <w:pStyle w:val="Odstavecseseznamem"/>
        <w:spacing w:before="60"/>
        <w:ind w:left="1440"/>
        <w:jc w:val="both"/>
        <w:rPr>
          <w:rFonts w:ascii="Times New Roman" w:eastAsia="Times New Roman" w:hAnsi="Times New Roman" w:cs="Times New Roman"/>
          <w:color w:val="4EA72E" w:themeColor="accent6"/>
          <w:lang w:eastAsia="cs-CZ"/>
        </w:rPr>
      </w:pPr>
    </w:p>
    <w:p w14:paraId="672DCA61" w14:textId="77777777" w:rsidR="00453BA8" w:rsidRPr="00A34671" w:rsidRDefault="00453BA8" w:rsidP="00CE1C16">
      <w:pPr>
        <w:pStyle w:val="Odstavecseseznamem"/>
        <w:numPr>
          <w:ilvl w:val="0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Práva zakotvená</w:t>
      </w:r>
      <w:r w:rsidR="00342031" w:rsidRPr="00A34671">
        <w:rPr>
          <w:rFonts w:ascii="Times New Roman" w:hAnsi="Times New Roman"/>
          <w:b/>
          <w:bCs/>
          <w:color w:val="153D63" w:themeColor="text2" w:themeTint="E6"/>
        </w:rPr>
        <w:t xml:space="preserve"> v </w:t>
      </w:r>
      <w:r w:rsidRPr="00A34671">
        <w:rPr>
          <w:rFonts w:ascii="Times New Roman" w:hAnsi="Times New Roman"/>
          <w:b/>
          <w:bCs/>
          <w:color w:val="153D63" w:themeColor="text2" w:themeTint="E6"/>
        </w:rPr>
        <w:t>EÚLP (Úmluvě):</w:t>
      </w:r>
    </w:p>
    <w:p w14:paraId="62B9E0B9" w14:textId="77777777" w:rsidR="00453BA8" w:rsidRPr="00160053" w:rsidRDefault="004F10A2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Nejsou součástí obecných zásad unijního práva.</w:t>
      </w:r>
    </w:p>
    <w:p w14:paraId="0FEF1238" w14:textId="77777777" w:rsidR="00453BA8" w:rsidRPr="00160053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Nemají</w:t>
      </w:r>
      <w:r w:rsidR="00342031" w:rsidRPr="00160053">
        <w:rPr>
          <w:rFonts w:ascii="Times New Roman" w:hAnsi="Times New Roman"/>
        </w:rPr>
        <w:t xml:space="preserve"> v </w:t>
      </w:r>
      <w:r w:rsidRPr="00160053">
        <w:rPr>
          <w:rFonts w:ascii="Times New Roman" w:hAnsi="Times New Roman"/>
        </w:rPr>
        <w:t>rámci unijního práva žádnou souvislost</w:t>
      </w:r>
      <w:r w:rsidR="00342031" w:rsidRPr="00160053">
        <w:rPr>
          <w:rFonts w:ascii="Times New Roman" w:hAnsi="Times New Roman"/>
        </w:rPr>
        <w:t xml:space="preserve"> s </w:t>
      </w:r>
      <w:r w:rsidRPr="00160053">
        <w:rPr>
          <w:rFonts w:ascii="Times New Roman" w:hAnsi="Times New Roman"/>
        </w:rPr>
        <w:t>ochranou lidských práv.</w:t>
      </w:r>
    </w:p>
    <w:p w14:paraId="619AAF3B" w14:textId="77777777" w:rsidR="00453BA8" w:rsidRPr="00721939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721939">
        <w:rPr>
          <w:rFonts w:ascii="Times New Roman" w:hAnsi="Times New Roman"/>
        </w:rPr>
        <w:t>Stanoví „minimální standard ochrany“</w:t>
      </w:r>
      <w:r w:rsidR="00342031" w:rsidRPr="00721939">
        <w:rPr>
          <w:rFonts w:ascii="Times New Roman" w:hAnsi="Times New Roman"/>
        </w:rPr>
        <w:t xml:space="preserve"> v </w:t>
      </w:r>
      <w:r w:rsidRPr="00721939">
        <w:rPr>
          <w:rFonts w:ascii="Times New Roman" w:hAnsi="Times New Roman"/>
        </w:rPr>
        <w:t>rámci Listiny</w:t>
      </w:r>
      <w:r w:rsidR="00342031" w:rsidRPr="00721939">
        <w:rPr>
          <w:rFonts w:ascii="Times New Roman" w:hAnsi="Times New Roman"/>
        </w:rPr>
        <w:t xml:space="preserve"> a </w:t>
      </w:r>
      <w:r w:rsidRPr="00721939">
        <w:rPr>
          <w:rFonts w:ascii="Times New Roman" w:hAnsi="Times New Roman"/>
        </w:rPr>
        <w:t>unijního práva.</w:t>
      </w:r>
    </w:p>
    <w:p w14:paraId="06414FD1" w14:textId="77777777" w:rsidR="00453BA8" w:rsidRPr="00160053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Plně odpovídají právům chráněným Listinou.</w:t>
      </w:r>
    </w:p>
    <w:p w14:paraId="129FAF30" w14:textId="77777777" w:rsidR="00453BA8" w:rsidRPr="00B15CD9" w:rsidRDefault="00453BA8" w:rsidP="00CE1C16">
      <w:pPr>
        <w:pStyle w:val="Odstavecseseznamem"/>
        <w:spacing w:before="60"/>
        <w:ind w:left="1440"/>
        <w:jc w:val="both"/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14:paraId="13108900" w14:textId="77777777" w:rsidR="00453BA8" w:rsidRPr="00B15CD9" w:rsidRDefault="00453BA8" w:rsidP="00CE1C16">
      <w:pPr>
        <w:pStyle w:val="Odstavecseseznamem"/>
        <w:spacing w:before="60"/>
        <w:ind w:left="1440"/>
        <w:jc w:val="both"/>
        <w:rPr>
          <w:rFonts w:ascii="Times New Roman" w:eastAsia="Times New Roman" w:hAnsi="Times New Roman" w:cs="Times New Roman"/>
          <w:color w:val="000000" w:themeColor="text1"/>
          <w:lang w:eastAsia="cs-CZ"/>
        </w:rPr>
      </w:pPr>
    </w:p>
    <w:p w14:paraId="7C648031" w14:textId="77777777" w:rsidR="00453BA8" w:rsidRPr="00A34671" w:rsidRDefault="00453BA8" w:rsidP="00CE1C16">
      <w:pPr>
        <w:pStyle w:val="Odstavecseseznamem"/>
        <w:numPr>
          <w:ilvl w:val="0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Ve věci týkající se ochrany základních práv musí advokát:</w:t>
      </w:r>
    </w:p>
    <w:p w14:paraId="3696C4AC" w14:textId="77777777" w:rsidR="00453BA8" w:rsidRPr="00160053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Zjistit</w:t>
      </w:r>
      <w:r w:rsidR="00342031" w:rsidRPr="00160053">
        <w:rPr>
          <w:rFonts w:ascii="Times New Roman" w:hAnsi="Times New Roman"/>
        </w:rPr>
        <w:t xml:space="preserve"> a </w:t>
      </w:r>
      <w:r w:rsidRPr="00160053">
        <w:rPr>
          <w:rFonts w:ascii="Times New Roman" w:hAnsi="Times New Roman"/>
        </w:rPr>
        <w:t>vybrat, zda klientův případ spadá výhradně pod Listinu nebo pod ochranu EÚLP (Úmluvy).</w:t>
      </w:r>
    </w:p>
    <w:p w14:paraId="5103D17A" w14:textId="77777777" w:rsidR="00453BA8" w:rsidRPr="00721939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721939">
        <w:rPr>
          <w:rFonts w:ascii="Times New Roman" w:hAnsi="Times New Roman"/>
        </w:rPr>
        <w:t>Posoudit možné použití obou systémů ochrany lidských práv na daný případ</w:t>
      </w:r>
      <w:r w:rsidR="00342031" w:rsidRPr="00721939">
        <w:rPr>
          <w:rFonts w:ascii="Times New Roman" w:hAnsi="Times New Roman"/>
        </w:rPr>
        <w:t xml:space="preserve"> a </w:t>
      </w:r>
      <w:r w:rsidRPr="00721939">
        <w:rPr>
          <w:rFonts w:ascii="Times New Roman" w:hAnsi="Times New Roman"/>
        </w:rPr>
        <w:t>zvolit pro svého klienta nejlepší způsob vedení sporu.</w:t>
      </w:r>
    </w:p>
    <w:p w14:paraId="1A880ABE" w14:textId="77777777" w:rsidR="00453BA8" w:rsidRPr="00160053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721939">
        <w:rPr>
          <w:rFonts w:ascii="Times New Roman" w:hAnsi="Times New Roman"/>
        </w:rPr>
        <w:t>Plně se spolehnout na rozhodování vnitrostátního soudce (na</w:t>
      </w:r>
      <w:r w:rsidRPr="00160053">
        <w:rPr>
          <w:rFonts w:ascii="Times New Roman" w:hAnsi="Times New Roman"/>
        </w:rPr>
        <w:t xml:space="preserve"> základě zásady iura novit curia).</w:t>
      </w:r>
    </w:p>
    <w:p w14:paraId="50365184" w14:textId="271A7BED" w:rsidR="00453BA8" w:rsidRPr="00160053" w:rsidRDefault="00453BA8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Spoléhat se výhradně na vnitrostátní úroveň ochrany lidských práv.</w:t>
      </w:r>
    </w:p>
    <w:p w14:paraId="2C3BE69D" w14:textId="77777777" w:rsidR="00514FBE" w:rsidRDefault="00514FBE" w:rsidP="00CE1C16">
      <w:pPr>
        <w:pStyle w:val="Odstavecseseznamem"/>
        <w:spacing w:before="60"/>
        <w:ind w:left="1440"/>
        <w:jc w:val="both"/>
        <w:rPr>
          <w:rFonts w:ascii="Times New Roman" w:hAnsi="Times New Roman"/>
          <w:color w:val="000000" w:themeColor="text1"/>
        </w:rPr>
      </w:pPr>
    </w:p>
    <w:p w14:paraId="6BA0375D" w14:textId="77777777" w:rsidR="00514FBE" w:rsidRPr="00A34671" w:rsidRDefault="00514FBE" w:rsidP="00CE1C16">
      <w:pPr>
        <w:pStyle w:val="Odstavecseseznamem"/>
        <w:spacing w:before="60"/>
        <w:ind w:left="1440"/>
        <w:jc w:val="both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</w:p>
    <w:p w14:paraId="4EE21396" w14:textId="77777777" w:rsidR="00453BA8" w:rsidRPr="00A34671" w:rsidRDefault="00453BA8" w:rsidP="00CE1C16">
      <w:pPr>
        <w:pStyle w:val="Odstavecseseznamem"/>
        <w:numPr>
          <w:ilvl w:val="0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  <w:color w:val="153D63" w:themeColor="text2" w:themeTint="E6"/>
        </w:rPr>
      </w:pPr>
      <w:r w:rsidRPr="00A34671">
        <w:rPr>
          <w:rFonts w:ascii="Times New Roman" w:hAnsi="Times New Roman"/>
          <w:b/>
          <w:bCs/>
          <w:color w:val="153D63" w:themeColor="text2" w:themeTint="E6"/>
        </w:rPr>
        <w:t>Vnitrostátní soudci:</w:t>
      </w:r>
    </w:p>
    <w:p w14:paraId="52164B24" w14:textId="77777777" w:rsidR="00453BA8" w:rsidRPr="00160053" w:rsidRDefault="004C1B7C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B</w:t>
      </w:r>
      <w:r w:rsidR="004F10A2" w:rsidRPr="00160053">
        <w:rPr>
          <w:rFonts w:ascii="Times New Roman" w:hAnsi="Times New Roman"/>
        </w:rPr>
        <w:t>y neměli vnitrostátní právní předpisy vykládat</w:t>
      </w:r>
      <w:r w:rsidR="00342031" w:rsidRPr="00160053">
        <w:rPr>
          <w:rFonts w:ascii="Times New Roman" w:hAnsi="Times New Roman"/>
        </w:rPr>
        <w:t xml:space="preserve"> v </w:t>
      </w:r>
      <w:r w:rsidR="004F10A2" w:rsidRPr="00160053">
        <w:rPr>
          <w:rFonts w:ascii="Times New Roman" w:hAnsi="Times New Roman"/>
        </w:rPr>
        <w:t>souladu</w:t>
      </w:r>
      <w:r w:rsidR="00342031" w:rsidRPr="00160053">
        <w:rPr>
          <w:rFonts w:ascii="Times New Roman" w:hAnsi="Times New Roman"/>
        </w:rPr>
        <w:t xml:space="preserve"> s </w:t>
      </w:r>
      <w:r w:rsidR="004F10A2" w:rsidRPr="00160053">
        <w:rPr>
          <w:rFonts w:ascii="Times New Roman" w:hAnsi="Times New Roman"/>
        </w:rPr>
        <w:t>unijním právem.</w:t>
      </w:r>
    </w:p>
    <w:p w14:paraId="3C4D8243" w14:textId="77777777" w:rsidR="00453BA8" w:rsidRPr="00160053" w:rsidRDefault="004C1B7C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M</w:t>
      </w:r>
      <w:r w:rsidR="00453BA8" w:rsidRPr="00160053">
        <w:rPr>
          <w:rFonts w:ascii="Times New Roman" w:hAnsi="Times New Roman"/>
        </w:rPr>
        <w:t>usí vykládat vnitrostátní právní předpisy</w:t>
      </w:r>
      <w:r w:rsidR="00342031" w:rsidRPr="00160053">
        <w:rPr>
          <w:rFonts w:ascii="Times New Roman" w:hAnsi="Times New Roman"/>
        </w:rPr>
        <w:t xml:space="preserve"> v </w:t>
      </w:r>
      <w:r w:rsidR="00453BA8" w:rsidRPr="00160053">
        <w:rPr>
          <w:rFonts w:ascii="Times New Roman" w:hAnsi="Times New Roman"/>
        </w:rPr>
        <w:t>souladu</w:t>
      </w:r>
      <w:r w:rsidR="00342031" w:rsidRPr="00160053">
        <w:rPr>
          <w:rFonts w:ascii="Times New Roman" w:hAnsi="Times New Roman"/>
        </w:rPr>
        <w:t xml:space="preserve"> s </w:t>
      </w:r>
      <w:r w:rsidR="00453BA8" w:rsidRPr="00160053">
        <w:rPr>
          <w:rFonts w:ascii="Times New Roman" w:hAnsi="Times New Roman"/>
        </w:rPr>
        <w:t>unijním právem, ale pouze za předpokladu, že takový způsob výkladu již vyplývá ze stávající judikatury SDEU.</w:t>
      </w:r>
    </w:p>
    <w:p w14:paraId="048B2A8C" w14:textId="77777777" w:rsidR="00453BA8" w:rsidRPr="00721939" w:rsidRDefault="004C1B7C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721939">
        <w:rPr>
          <w:rFonts w:ascii="Times New Roman" w:hAnsi="Times New Roman"/>
        </w:rPr>
        <w:t>M</w:t>
      </w:r>
      <w:r w:rsidR="00453BA8" w:rsidRPr="00721939">
        <w:rPr>
          <w:rFonts w:ascii="Times New Roman" w:hAnsi="Times New Roman"/>
        </w:rPr>
        <w:t>ohou,</w:t>
      </w:r>
      <w:r w:rsidR="00342031" w:rsidRPr="00721939">
        <w:rPr>
          <w:rFonts w:ascii="Times New Roman" w:hAnsi="Times New Roman"/>
        </w:rPr>
        <w:t xml:space="preserve"> a </w:t>
      </w:r>
      <w:r w:rsidR="00453BA8" w:rsidRPr="00721939">
        <w:rPr>
          <w:rFonts w:ascii="Times New Roman" w:hAnsi="Times New Roman"/>
        </w:rPr>
        <w:t>v některých případech musí, předložit žádost</w:t>
      </w:r>
      <w:r w:rsidR="00342031" w:rsidRPr="00721939">
        <w:rPr>
          <w:rFonts w:ascii="Times New Roman" w:hAnsi="Times New Roman"/>
        </w:rPr>
        <w:t xml:space="preserve"> o </w:t>
      </w:r>
      <w:r w:rsidR="00453BA8" w:rsidRPr="00721939">
        <w:rPr>
          <w:rFonts w:ascii="Times New Roman" w:hAnsi="Times New Roman"/>
        </w:rPr>
        <w:t>rozhodnutí</w:t>
      </w:r>
      <w:r w:rsidR="00342031" w:rsidRPr="00721939">
        <w:rPr>
          <w:rFonts w:ascii="Times New Roman" w:hAnsi="Times New Roman"/>
        </w:rPr>
        <w:t xml:space="preserve"> o </w:t>
      </w:r>
      <w:r w:rsidR="00453BA8" w:rsidRPr="00721939">
        <w:rPr>
          <w:rFonts w:ascii="Times New Roman" w:hAnsi="Times New Roman"/>
        </w:rPr>
        <w:t>předběžné otázce SDEU za předpokladu, že výklad otázky spadající do oblasti působnosti unijního práva je nejasný.</w:t>
      </w:r>
    </w:p>
    <w:p w14:paraId="52FD576A" w14:textId="71A3703C" w:rsidR="00B239F3" w:rsidRPr="00160053" w:rsidRDefault="004C1B7C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lastRenderedPageBreak/>
        <w:t>M</w:t>
      </w:r>
      <w:r w:rsidR="00453BA8" w:rsidRPr="00160053">
        <w:rPr>
          <w:rFonts w:ascii="Times New Roman" w:hAnsi="Times New Roman"/>
        </w:rPr>
        <w:t>ohou při svých úvahách rozhodovat zcela podle svého uvážení.</w:t>
      </w:r>
    </w:p>
    <w:p w14:paraId="52CB089E" w14:textId="77777777" w:rsidR="00A31DE0" w:rsidRDefault="00A31DE0" w:rsidP="00CE1C16">
      <w:pPr>
        <w:spacing w:before="60"/>
        <w:jc w:val="both"/>
        <w:rPr>
          <w:rFonts w:ascii="Times New Roman" w:eastAsia="Times New Roman" w:hAnsi="Times New Roman" w:cs="Times New Roman"/>
          <w:color w:val="4EA72E" w:themeColor="accent6"/>
        </w:rPr>
      </w:pPr>
    </w:p>
    <w:p w14:paraId="7B626731" w14:textId="77777777" w:rsidR="00B239F3" w:rsidRDefault="00B239F3" w:rsidP="00CE1C16">
      <w:pPr>
        <w:spacing w:before="60"/>
        <w:jc w:val="both"/>
        <w:rPr>
          <w:rFonts w:ascii="Times New Roman" w:eastAsia="Times New Roman" w:hAnsi="Times New Roman" w:cs="Times New Roman"/>
          <w:color w:val="4EA72E" w:themeColor="accent6"/>
        </w:rPr>
      </w:pPr>
    </w:p>
    <w:p w14:paraId="08C4C2E4" w14:textId="55FDFFAF" w:rsidR="00B239F3" w:rsidRPr="00B23B5A" w:rsidRDefault="009B0661" w:rsidP="00CE1C16">
      <w:pPr>
        <w:pStyle w:val="Odstavecseseznamem"/>
        <w:numPr>
          <w:ilvl w:val="0"/>
          <w:numId w:val="13"/>
        </w:numPr>
        <w:spacing w:before="60"/>
        <w:ind w:hanging="357"/>
        <w:jc w:val="both"/>
        <w:rPr>
          <w:rFonts w:ascii="Times New Roman" w:hAnsi="Times New Roman"/>
          <w:b/>
          <w:bCs/>
          <w:color w:val="153D63" w:themeColor="text2" w:themeTint="E6"/>
        </w:rPr>
      </w:pPr>
      <w:r w:rsidRPr="00B23B5A">
        <w:rPr>
          <w:rFonts w:ascii="Times New Roman" w:hAnsi="Times New Roman"/>
          <w:b/>
          <w:bCs/>
          <w:color w:val="153D63" w:themeColor="text2" w:themeTint="E6"/>
        </w:rPr>
        <w:t>K</w:t>
      </w:r>
      <w:r w:rsidR="00B239F3" w:rsidRPr="00B23B5A">
        <w:rPr>
          <w:rFonts w:ascii="Times New Roman" w:hAnsi="Times New Roman"/>
          <w:b/>
          <w:bCs/>
          <w:color w:val="153D63" w:themeColor="text2" w:themeTint="E6"/>
        </w:rPr>
        <w:t xml:space="preserve">dy můžete </w:t>
      </w:r>
      <w:r w:rsidRPr="00B23B5A">
        <w:rPr>
          <w:rFonts w:ascii="Times New Roman" w:hAnsi="Times New Roman"/>
          <w:b/>
          <w:bCs/>
          <w:color w:val="153D63" w:themeColor="text2" w:themeTint="E6"/>
        </w:rPr>
        <w:t xml:space="preserve">jako advokát zastupující klienta před vnitrostátním soudem </w:t>
      </w:r>
      <w:r w:rsidR="00B239F3" w:rsidRPr="00B23B5A">
        <w:rPr>
          <w:rFonts w:ascii="Times New Roman" w:hAnsi="Times New Roman"/>
          <w:b/>
          <w:bCs/>
          <w:color w:val="153D63" w:themeColor="text2" w:themeTint="E6"/>
        </w:rPr>
        <w:t>uplatnit Listinu základních práv Evropské unie?</w:t>
      </w:r>
    </w:p>
    <w:p w14:paraId="7F754D36" w14:textId="77777777" w:rsidR="00B239F3" w:rsidRPr="00160053" w:rsidRDefault="00B239F3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Kdykoliv jsou dotčena základní práva, bez ohledu na působnost práva EU.</w:t>
      </w:r>
    </w:p>
    <w:p w14:paraId="52200D26" w14:textId="04B46AF4" w:rsidR="00B239F3" w:rsidRPr="00160053" w:rsidRDefault="00B239F3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 xml:space="preserve">Pouze tehdy, pokud </w:t>
      </w:r>
      <w:r w:rsidR="007C40BC" w:rsidRPr="00160053">
        <w:rPr>
          <w:rFonts w:ascii="Times New Roman" w:hAnsi="Times New Roman"/>
        </w:rPr>
        <w:t>daná situace není upraveny vnitrostátním právem</w:t>
      </w:r>
      <w:r w:rsidR="00683261" w:rsidRPr="00160053">
        <w:rPr>
          <w:rFonts w:ascii="Times New Roman" w:hAnsi="Times New Roman"/>
        </w:rPr>
        <w:t>.</w:t>
      </w:r>
    </w:p>
    <w:p w14:paraId="32A54073" w14:textId="77777777" w:rsidR="00B239F3" w:rsidRPr="00721939" w:rsidRDefault="00B239F3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721939">
        <w:rPr>
          <w:rFonts w:ascii="Times New Roman" w:hAnsi="Times New Roman"/>
        </w:rPr>
        <w:t>Pokud se věc týká porušení práv spadajících do oblasti působnosti práva EU.</w:t>
      </w:r>
    </w:p>
    <w:p w14:paraId="08A646DC" w14:textId="77777777" w:rsidR="00B239F3" w:rsidRPr="00160053" w:rsidRDefault="00B239F3" w:rsidP="00160053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160053">
        <w:rPr>
          <w:rFonts w:ascii="Times New Roman" w:hAnsi="Times New Roman"/>
        </w:rPr>
        <w:t>Pouze v případě, že Soudní dvůr Evropské unie již rozhodl o obdobném případu.</w:t>
      </w:r>
    </w:p>
    <w:p w14:paraId="29B27CE3" w14:textId="77777777" w:rsidR="00E97AA4" w:rsidRPr="00B239F3" w:rsidRDefault="00E97AA4" w:rsidP="00CE1C16">
      <w:pPr>
        <w:spacing w:before="60"/>
        <w:ind w:left="720"/>
        <w:jc w:val="both"/>
        <w:rPr>
          <w:rFonts w:ascii="Times New Roman" w:eastAsia="Times New Roman" w:hAnsi="Times New Roman" w:cs="Times New Roman"/>
        </w:rPr>
      </w:pPr>
    </w:p>
    <w:p w14:paraId="6DF9198C" w14:textId="6F5EC8A0" w:rsidR="00B239F3" w:rsidRPr="00B239F3" w:rsidRDefault="00B239F3" w:rsidP="00CE1C16">
      <w:pPr>
        <w:spacing w:before="60"/>
        <w:jc w:val="both"/>
        <w:rPr>
          <w:rFonts w:ascii="Times New Roman" w:eastAsia="Times New Roman" w:hAnsi="Times New Roman" w:cs="Times New Roman"/>
          <w:color w:val="153D63" w:themeColor="text2" w:themeTint="E6"/>
        </w:rPr>
      </w:pPr>
    </w:p>
    <w:p w14:paraId="0855EF79" w14:textId="094E4BDE" w:rsidR="00B239F3" w:rsidRPr="00B23B5A" w:rsidRDefault="006D6421" w:rsidP="00CE1C16">
      <w:pPr>
        <w:pStyle w:val="Odstavecseseznamem"/>
        <w:numPr>
          <w:ilvl w:val="0"/>
          <w:numId w:val="13"/>
        </w:numPr>
        <w:spacing w:before="60"/>
        <w:jc w:val="both"/>
        <w:rPr>
          <w:rFonts w:ascii="Times New Roman" w:hAnsi="Times New Roman"/>
          <w:b/>
          <w:bCs/>
          <w:color w:val="153D63" w:themeColor="text2" w:themeTint="E6"/>
        </w:rPr>
      </w:pPr>
      <w:r w:rsidRPr="00B23B5A">
        <w:rPr>
          <w:rFonts w:ascii="Times New Roman" w:hAnsi="Times New Roman"/>
          <w:b/>
          <w:bCs/>
          <w:color w:val="153D63" w:themeColor="text2" w:themeTint="E6"/>
        </w:rPr>
        <w:t>Vnitrostátní</w:t>
      </w:r>
      <w:r w:rsidR="00B239F3" w:rsidRPr="00B23B5A">
        <w:rPr>
          <w:rFonts w:ascii="Times New Roman" w:hAnsi="Times New Roman"/>
          <w:b/>
          <w:bCs/>
          <w:color w:val="153D63" w:themeColor="text2" w:themeTint="E6"/>
        </w:rPr>
        <w:t xml:space="preserve"> právní předpis je v rozporu s právy chráněnými Listinou. Jaké kroky můžete učinit?</w:t>
      </w:r>
    </w:p>
    <w:p w14:paraId="63D09FBD" w14:textId="3EFF341E" w:rsidR="00B239F3" w:rsidRPr="00721939" w:rsidRDefault="00B239F3" w:rsidP="00CE1C16">
      <w:pPr>
        <w:numPr>
          <w:ilvl w:val="0"/>
          <w:numId w:val="7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721939">
        <w:rPr>
          <w:rFonts w:ascii="Times New Roman" w:eastAsia="Times New Roman" w:hAnsi="Times New Roman" w:cs="Times New Roman"/>
        </w:rPr>
        <w:t xml:space="preserve">Požádat Soudní dvůr EU o předběžné rozhodnutí </w:t>
      </w:r>
      <w:r w:rsidR="0058005F" w:rsidRPr="00721939">
        <w:rPr>
          <w:rFonts w:ascii="Times New Roman" w:eastAsia="Times New Roman" w:hAnsi="Times New Roman" w:cs="Times New Roman"/>
        </w:rPr>
        <w:t>za účelem posouzení, zda je vnitrostátní právo v souladu</w:t>
      </w:r>
      <w:r w:rsidRPr="00721939">
        <w:rPr>
          <w:rFonts w:ascii="Times New Roman" w:eastAsia="Times New Roman" w:hAnsi="Times New Roman" w:cs="Times New Roman"/>
        </w:rPr>
        <w:t xml:space="preserve"> s právem EU.</w:t>
      </w:r>
    </w:p>
    <w:p w14:paraId="558D0AFF" w14:textId="77777777" w:rsidR="00B239F3" w:rsidRPr="00B239F3" w:rsidRDefault="00B239F3" w:rsidP="00CE1C16">
      <w:pPr>
        <w:numPr>
          <w:ilvl w:val="0"/>
          <w:numId w:val="7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>Okamžitě podat věc k Evropskému soudu pro lidská práva.</w:t>
      </w:r>
    </w:p>
    <w:p w14:paraId="1EEBC3B6" w14:textId="0EB7CB20" w:rsidR="00B239F3" w:rsidRPr="00B239F3" w:rsidRDefault="00B239F3" w:rsidP="00CE1C16">
      <w:pPr>
        <w:numPr>
          <w:ilvl w:val="0"/>
          <w:numId w:val="7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 xml:space="preserve">Použít Listinu k přímému zneplatnění </w:t>
      </w:r>
      <w:r w:rsidR="00DF45DA">
        <w:rPr>
          <w:rFonts w:ascii="Times New Roman" w:eastAsia="Times New Roman" w:hAnsi="Times New Roman" w:cs="Times New Roman"/>
        </w:rPr>
        <w:t>vnitrostátního</w:t>
      </w:r>
      <w:r w:rsidRPr="00B239F3">
        <w:rPr>
          <w:rFonts w:ascii="Times New Roman" w:eastAsia="Times New Roman" w:hAnsi="Times New Roman" w:cs="Times New Roman"/>
        </w:rPr>
        <w:t xml:space="preserve"> právního předpisu.</w:t>
      </w:r>
    </w:p>
    <w:p w14:paraId="3DF0E384" w14:textId="540955A7" w:rsidR="00B239F3" w:rsidRDefault="00B239F3" w:rsidP="00CE1C16">
      <w:pPr>
        <w:numPr>
          <w:ilvl w:val="0"/>
          <w:numId w:val="7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>Obrátit se na Evropskou komisi, aby zahájila řízení proti členskému státu pro porušení práva EU.</w:t>
      </w:r>
    </w:p>
    <w:p w14:paraId="6029360E" w14:textId="77777777" w:rsidR="00A44BC7" w:rsidRPr="00B239F3" w:rsidRDefault="00A44BC7" w:rsidP="00CE1C16">
      <w:pPr>
        <w:spacing w:before="60"/>
        <w:ind w:left="720"/>
        <w:jc w:val="both"/>
        <w:rPr>
          <w:rFonts w:ascii="Times New Roman" w:eastAsia="Times New Roman" w:hAnsi="Times New Roman" w:cs="Times New Roman"/>
          <w:color w:val="153D63" w:themeColor="text2" w:themeTint="E6"/>
        </w:rPr>
      </w:pPr>
    </w:p>
    <w:p w14:paraId="5D55169E" w14:textId="0A8B46AC" w:rsidR="00B239F3" w:rsidRPr="00D97EC4" w:rsidRDefault="00D7770B" w:rsidP="00CE1C16">
      <w:pPr>
        <w:pStyle w:val="Odstavecseseznamem"/>
        <w:numPr>
          <w:ilvl w:val="0"/>
          <w:numId w:val="13"/>
        </w:numPr>
        <w:spacing w:before="60"/>
        <w:jc w:val="both"/>
        <w:rPr>
          <w:rFonts w:ascii="Times New Roman" w:hAnsi="Times New Roman"/>
          <w:b/>
          <w:bCs/>
          <w:color w:val="153D63" w:themeColor="text2" w:themeTint="E6"/>
        </w:rPr>
      </w:pPr>
      <w:r w:rsidRPr="00D97EC4">
        <w:rPr>
          <w:rFonts w:ascii="Times New Roman" w:hAnsi="Times New Roman"/>
          <w:b/>
          <w:bCs/>
          <w:color w:val="153D63" w:themeColor="text2" w:themeTint="E6"/>
        </w:rPr>
        <w:t>Jsou-li ve věci klienta uplatnitelná práva chráněná jak</w:t>
      </w:r>
      <w:r w:rsidR="00B239F3" w:rsidRPr="00D97EC4">
        <w:rPr>
          <w:rFonts w:ascii="Times New Roman" w:hAnsi="Times New Roman"/>
          <w:b/>
          <w:bCs/>
          <w:color w:val="153D63" w:themeColor="text2" w:themeTint="E6"/>
        </w:rPr>
        <w:t xml:space="preserve"> Evropsk</w:t>
      </w:r>
      <w:r w:rsidRPr="00D97EC4">
        <w:rPr>
          <w:rFonts w:ascii="Times New Roman" w:hAnsi="Times New Roman"/>
          <w:b/>
          <w:bCs/>
          <w:color w:val="153D63" w:themeColor="text2" w:themeTint="E6"/>
        </w:rPr>
        <w:t>ou</w:t>
      </w:r>
      <w:r w:rsidR="00B239F3" w:rsidRPr="00D97EC4">
        <w:rPr>
          <w:rFonts w:ascii="Times New Roman" w:hAnsi="Times New Roman"/>
          <w:b/>
          <w:bCs/>
          <w:color w:val="153D63" w:themeColor="text2" w:themeTint="E6"/>
        </w:rPr>
        <w:t xml:space="preserve"> úmluv</w:t>
      </w:r>
      <w:r w:rsidRPr="00D97EC4">
        <w:rPr>
          <w:rFonts w:ascii="Times New Roman" w:hAnsi="Times New Roman"/>
          <w:b/>
          <w:bCs/>
          <w:color w:val="153D63" w:themeColor="text2" w:themeTint="E6"/>
        </w:rPr>
        <w:t xml:space="preserve">ou </w:t>
      </w:r>
      <w:r w:rsidR="00B239F3" w:rsidRPr="00D97EC4">
        <w:rPr>
          <w:rFonts w:ascii="Times New Roman" w:hAnsi="Times New Roman"/>
          <w:b/>
          <w:bCs/>
          <w:color w:val="153D63" w:themeColor="text2" w:themeTint="E6"/>
        </w:rPr>
        <w:t>o ochraně lidských práv</w:t>
      </w:r>
      <w:r w:rsidRPr="00D97EC4">
        <w:rPr>
          <w:rFonts w:ascii="Times New Roman" w:hAnsi="Times New Roman"/>
          <w:b/>
          <w:bCs/>
          <w:color w:val="153D63" w:themeColor="text2" w:themeTint="E6"/>
        </w:rPr>
        <w:t>, tak Listinou</w:t>
      </w:r>
      <w:r w:rsidR="00B239F3" w:rsidRPr="00D97EC4">
        <w:rPr>
          <w:rFonts w:ascii="Times New Roman" w:hAnsi="Times New Roman"/>
          <w:b/>
          <w:bCs/>
          <w:color w:val="153D63" w:themeColor="text2" w:themeTint="E6"/>
        </w:rPr>
        <w:t xml:space="preserve"> základních </w:t>
      </w:r>
      <w:r w:rsidRPr="00D97EC4">
        <w:rPr>
          <w:rFonts w:ascii="Times New Roman" w:hAnsi="Times New Roman"/>
          <w:b/>
          <w:bCs/>
          <w:color w:val="153D63" w:themeColor="text2" w:themeTint="E6"/>
        </w:rPr>
        <w:t>práv EU</w:t>
      </w:r>
      <w:r w:rsidR="00B239F3" w:rsidRPr="00D97EC4">
        <w:rPr>
          <w:rFonts w:ascii="Times New Roman" w:hAnsi="Times New Roman"/>
          <w:b/>
          <w:bCs/>
          <w:color w:val="153D63" w:themeColor="text2" w:themeTint="E6"/>
        </w:rPr>
        <w:t xml:space="preserve">, co </w:t>
      </w:r>
      <w:r w:rsidRPr="00D97EC4">
        <w:rPr>
          <w:rFonts w:ascii="Times New Roman" w:hAnsi="Times New Roman"/>
          <w:b/>
          <w:bCs/>
          <w:color w:val="153D63" w:themeColor="text2" w:themeTint="E6"/>
        </w:rPr>
        <w:t>je třeba zvážit při volbě právní strategie?</w:t>
      </w:r>
    </w:p>
    <w:p w14:paraId="2451992C" w14:textId="77777777" w:rsidR="00B239F3" w:rsidRPr="008763B1" w:rsidRDefault="00B239F3" w:rsidP="008763B1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8763B1">
        <w:rPr>
          <w:rFonts w:ascii="Times New Roman" w:hAnsi="Times New Roman"/>
        </w:rPr>
        <w:t>Vždy upřednostnit Listinu, protože poskytuje širší ochranu.</w:t>
      </w:r>
    </w:p>
    <w:p w14:paraId="696DE46E" w14:textId="77777777" w:rsidR="00B239F3" w:rsidRPr="00721939" w:rsidRDefault="00B239F3" w:rsidP="008763B1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721939">
        <w:rPr>
          <w:rFonts w:ascii="Times New Roman" w:hAnsi="Times New Roman"/>
        </w:rPr>
        <w:t>Identifikovat ten právní instrument, který poskytuje nejvyšší úroveň ochrany pro konkrétní situaci klienta.</w:t>
      </w:r>
    </w:p>
    <w:p w14:paraId="37E139B0" w14:textId="3BF83CC1" w:rsidR="00B239F3" w:rsidRPr="008763B1" w:rsidRDefault="00B239F3" w:rsidP="008763B1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8763B1">
        <w:rPr>
          <w:rFonts w:ascii="Times New Roman" w:hAnsi="Times New Roman"/>
        </w:rPr>
        <w:t xml:space="preserve">Preferovat </w:t>
      </w:r>
      <w:r w:rsidR="00CA4040" w:rsidRPr="008763B1">
        <w:rPr>
          <w:rFonts w:ascii="Times New Roman" w:hAnsi="Times New Roman"/>
        </w:rPr>
        <w:t>vnitrostátní</w:t>
      </w:r>
      <w:r w:rsidRPr="008763B1">
        <w:rPr>
          <w:rFonts w:ascii="Times New Roman" w:hAnsi="Times New Roman"/>
        </w:rPr>
        <w:t xml:space="preserve"> ústavní práva před právy vyplývajícími z práva EU a EÚLP.</w:t>
      </w:r>
    </w:p>
    <w:p w14:paraId="566ED3BA" w14:textId="77777777" w:rsidR="00B239F3" w:rsidRPr="008763B1" w:rsidRDefault="00B239F3" w:rsidP="008763B1">
      <w:pPr>
        <w:numPr>
          <w:ilvl w:val="1"/>
          <w:numId w:val="13"/>
        </w:numPr>
        <w:spacing w:before="60"/>
        <w:rPr>
          <w:rFonts w:ascii="Times New Roman" w:hAnsi="Times New Roman"/>
        </w:rPr>
      </w:pPr>
      <w:r w:rsidRPr="008763B1">
        <w:rPr>
          <w:rFonts w:ascii="Times New Roman" w:hAnsi="Times New Roman"/>
        </w:rPr>
        <w:t>Použít EÚLP jako jediný právní základ, protože je univerzálně platná v Evropě.</w:t>
      </w:r>
    </w:p>
    <w:p w14:paraId="71DA5C85" w14:textId="77777777" w:rsidR="00E97AA4" w:rsidRPr="00B239F3" w:rsidRDefault="00E97AA4" w:rsidP="00CE1C16">
      <w:pPr>
        <w:spacing w:before="60"/>
        <w:ind w:left="720"/>
        <w:jc w:val="both"/>
        <w:rPr>
          <w:rFonts w:ascii="Times New Roman" w:eastAsia="Times New Roman" w:hAnsi="Times New Roman" w:cs="Times New Roman"/>
        </w:rPr>
      </w:pPr>
    </w:p>
    <w:p w14:paraId="74BD68A6" w14:textId="20943703" w:rsidR="00B239F3" w:rsidRPr="00B239F3" w:rsidRDefault="00B239F3" w:rsidP="00CE1C16">
      <w:pPr>
        <w:spacing w:before="60"/>
        <w:jc w:val="both"/>
        <w:rPr>
          <w:rFonts w:ascii="Times New Roman" w:eastAsia="Times New Roman" w:hAnsi="Times New Roman" w:cs="Times New Roman"/>
          <w:color w:val="215E99" w:themeColor="text2" w:themeTint="BF"/>
        </w:rPr>
      </w:pPr>
    </w:p>
    <w:p w14:paraId="21649F98" w14:textId="63740696" w:rsidR="00B239F3" w:rsidRPr="00D97EC4" w:rsidRDefault="00B239F3" w:rsidP="00CE1C16">
      <w:pPr>
        <w:pStyle w:val="Odstavecseseznamem"/>
        <w:numPr>
          <w:ilvl w:val="0"/>
          <w:numId w:val="13"/>
        </w:numPr>
        <w:spacing w:before="60"/>
        <w:jc w:val="both"/>
        <w:rPr>
          <w:rFonts w:ascii="Times New Roman" w:hAnsi="Times New Roman"/>
          <w:b/>
          <w:bCs/>
          <w:color w:val="153D63" w:themeColor="text2" w:themeTint="E6"/>
        </w:rPr>
      </w:pPr>
      <w:r w:rsidRPr="00D97EC4">
        <w:rPr>
          <w:rFonts w:ascii="Times New Roman" w:hAnsi="Times New Roman"/>
          <w:b/>
          <w:bCs/>
          <w:color w:val="153D63" w:themeColor="text2" w:themeTint="E6"/>
        </w:rPr>
        <w:t xml:space="preserve">Právo vašeho klienta na ochranu osobních údajů je porušováno soukromým subjektem, který nedodržuje standardy ochrany </w:t>
      </w:r>
      <w:r w:rsidR="00846246" w:rsidRPr="00D97EC4">
        <w:rPr>
          <w:rFonts w:ascii="Times New Roman" w:hAnsi="Times New Roman"/>
          <w:b/>
          <w:bCs/>
          <w:color w:val="153D63" w:themeColor="text2" w:themeTint="E6"/>
        </w:rPr>
        <w:t xml:space="preserve">údajů </w:t>
      </w:r>
      <w:r w:rsidRPr="00D97EC4">
        <w:rPr>
          <w:rFonts w:ascii="Times New Roman" w:hAnsi="Times New Roman"/>
          <w:b/>
          <w:bCs/>
          <w:color w:val="153D63" w:themeColor="text2" w:themeTint="E6"/>
        </w:rPr>
        <w:t xml:space="preserve">stanovené právem EU (GDPR). Jak </w:t>
      </w:r>
      <w:r w:rsidR="00815283" w:rsidRPr="00D97EC4">
        <w:rPr>
          <w:rFonts w:ascii="Times New Roman" w:hAnsi="Times New Roman"/>
          <w:b/>
          <w:bCs/>
          <w:color w:val="153D63" w:themeColor="text2" w:themeTint="E6"/>
        </w:rPr>
        <w:t xml:space="preserve">byste měli </w:t>
      </w:r>
      <w:r w:rsidRPr="00D97EC4">
        <w:rPr>
          <w:rFonts w:ascii="Times New Roman" w:hAnsi="Times New Roman"/>
          <w:b/>
          <w:bCs/>
          <w:color w:val="153D63" w:themeColor="text2" w:themeTint="E6"/>
        </w:rPr>
        <w:t>postupovat s</w:t>
      </w:r>
      <w:r w:rsidR="005204C3" w:rsidRPr="00D97EC4">
        <w:rPr>
          <w:rFonts w:ascii="Times New Roman" w:hAnsi="Times New Roman"/>
          <w:b/>
          <w:bCs/>
          <w:color w:val="153D63" w:themeColor="text2" w:themeTint="E6"/>
        </w:rPr>
        <w:t> </w:t>
      </w:r>
      <w:r w:rsidR="003C7D62">
        <w:rPr>
          <w:rFonts w:ascii="Times New Roman" w:hAnsi="Times New Roman"/>
          <w:b/>
          <w:bCs/>
          <w:color w:val="153D63" w:themeColor="text2" w:themeTint="E6"/>
        </w:rPr>
        <w:t>použitím</w:t>
      </w:r>
      <w:r w:rsidRPr="00D97EC4">
        <w:rPr>
          <w:rFonts w:ascii="Times New Roman" w:hAnsi="Times New Roman"/>
          <w:b/>
          <w:bCs/>
          <w:color w:val="153D63" w:themeColor="text2" w:themeTint="E6"/>
        </w:rPr>
        <w:t xml:space="preserve"> Listin</w:t>
      </w:r>
      <w:r w:rsidR="003C7D62">
        <w:rPr>
          <w:rFonts w:ascii="Times New Roman" w:hAnsi="Times New Roman"/>
          <w:b/>
          <w:bCs/>
          <w:color w:val="153D63" w:themeColor="text2" w:themeTint="E6"/>
        </w:rPr>
        <w:t>y</w:t>
      </w:r>
      <w:r w:rsidRPr="00D97EC4">
        <w:rPr>
          <w:rFonts w:ascii="Times New Roman" w:hAnsi="Times New Roman"/>
          <w:b/>
          <w:bCs/>
          <w:color w:val="153D63" w:themeColor="text2" w:themeTint="E6"/>
        </w:rPr>
        <w:t>?</w:t>
      </w:r>
    </w:p>
    <w:p w14:paraId="2C4B444A" w14:textId="77777777" w:rsidR="00B239F3" w:rsidRPr="00721939" w:rsidRDefault="00B239F3" w:rsidP="00CE1C16">
      <w:pPr>
        <w:numPr>
          <w:ilvl w:val="0"/>
          <w:numId w:val="9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721939">
        <w:rPr>
          <w:rFonts w:ascii="Times New Roman" w:eastAsia="Times New Roman" w:hAnsi="Times New Roman" w:cs="Times New Roman"/>
        </w:rPr>
        <w:t>Argumentovat, že soukromý subjekt je povinen dodržovat GDPR, a že porušení práva klienta na ochranu osobních údajů představuje porušení článku 8 Listiny.</w:t>
      </w:r>
    </w:p>
    <w:p w14:paraId="5E879BF4" w14:textId="77777777" w:rsidR="00B239F3" w:rsidRPr="00B239F3" w:rsidRDefault="00B239F3" w:rsidP="00CE1C16">
      <w:pPr>
        <w:numPr>
          <w:ilvl w:val="0"/>
          <w:numId w:val="9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>Postoupit věc přímo Evropskému soudu pro lidská práva k posouzení porušení práva na ochranu osobních údajů.</w:t>
      </w:r>
    </w:p>
    <w:p w14:paraId="1376CE03" w14:textId="236CD853" w:rsidR="00B239F3" w:rsidRPr="00B239F3" w:rsidRDefault="00B239F3" w:rsidP="00CE1C16">
      <w:pPr>
        <w:numPr>
          <w:ilvl w:val="0"/>
          <w:numId w:val="9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 xml:space="preserve">Podat stížnost </w:t>
      </w:r>
      <w:r w:rsidR="00F65465">
        <w:rPr>
          <w:rFonts w:ascii="Times New Roman" w:eastAsia="Times New Roman" w:hAnsi="Times New Roman" w:cs="Times New Roman"/>
        </w:rPr>
        <w:t xml:space="preserve">k </w:t>
      </w:r>
      <w:r w:rsidRPr="00B239F3">
        <w:rPr>
          <w:rFonts w:ascii="Times New Roman" w:eastAsia="Times New Roman" w:hAnsi="Times New Roman" w:cs="Times New Roman"/>
        </w:rPr>
        <w:t>Evropské komisi na porušení</w:t>
      </w:r>
      <w:r w:rsidR="00F65465">
        <w:rPr>
          <w:rFonts w:ascii="Times New Roman" w:eastAsia="Times New Roman" w:hAnsi="Times New Roman" w:cs="Times New Roman"/>
        </w:rPr>
        <w:t xml:space="preserve"> povinností vyplývajících z</w:t>
      </w:r>
      <w:r w:rsidRPr="00B239F3">
        <w:rPr>
          <w:rFonts w:ascii="Times New Roman" w:eastAsia="Times New Roman" w:hAnsi="Times New Roman" w:cs="Times New Roman"/>
        </w:rPr>
        <w:t xml:space="preserve"> GDPR ze strany soukromého subjektu.</w:t>
      </w:r>
    </w:p>
    <w:p w14:paraId="4320D864" w14:textId="193B344E" w:rsidR="00B66E9A" w:rsidRPr="008763B1" w:rsidRDefault="00B239F3" w:rsidP="008763B1">
      <w:pPr>
        <w:numPr>
          <w:ilvl w:val="0"/>
          <w:numId w:val="9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lastRenderedPageBreak/>
        <w:t>Ignorovat Listinu a soustředit se výhradně na GDPR, protože Listina se nevztahuje na soukromé subjekty.</w:t>
      </w:r>
    </w:p>
    <w:p w14:paraId="161E537E" w14:textId="3313FB16" w:rsidR="00B239F3" w:rsidRPr="00B239F3" w:rsidRDefault="00B239F3" w:rsidP="00CE1C16">
      <w:pPr>
        <w:spacing w:before="60"/>
        <w:jc w:val="both"/>
        <w:rPr>
          <w:rFonts w:ascii="Times New Roman" w:eastAsia="Times New Roman" w:hAnsi="Times New Roman" w:cs="Times New Roman"/>
        </w:rPr>
      </w:pPr>
    </w:p>
    <w:p w14:paraId="2475CA90" w14:textId="52657E9C" w:rsidR="00B239F3" w:rsidRPr="00995A61" w:rsidRDefault="00B239F3" w:rsidP="00CE1C16">
      <w:pPr>
        <w:pStyle w:val="Odstavecseseznamem"/>
        <w:numPr>
          <w:ilvl w:val="0"/>
          <w:numId w:val="13"/>
        </w:numPr>
        <w:spacing w:before="60"/>
        <w:jc w:val="both"/>
        <w:rPr>
          <w:rFonts w:ascii="Times New Roman" w:hAnsi="Times New Roman"/>
          <w:b/>
          <w:bCs/>
          <w:color w:val="153D63" w:themeColor="text2" w:themeTint="E6"/>
        </w:rPr>
      </w:pPr>
      <w:r w:rsidRPr="00995A61">
        <w:rPr>
          <w:rFonts w:ascii="Times New Roman" w:hAnsi="Times New Roman"/>
          <w:b/>
          <w:bCs/>
          <w:color w:val="153D63" w:themeColor="text2" w:themeTint="E6"/>
        </w:rPr>
        <w:t>V</w:t>
      </w:r>
      <w:r w:rsidR="000036AE" w:rsidRPr="00995A61">
        <w:rPr>
          <w:rFonts w:ascii="Times New Roman" w:hAnsi="Times New Roman"/>
          <w:b/>
          <w:bCs/>
          <w:color w:val="153D63" w:themeColor="text2" w:themeTint="E6"/>
        </w:rPr>
        <w:t>ašemu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 xml:space="preserve"> klient</w:t>
      </w:r>
      <w:r w:rsidR="000036AE" w:rsidRPr="00995A61">
        <w:rPr>
          <w:rFonts w:ascii="Times New Roman" w:hAnsi="Times New Roman"/>
          <w:b/>
          <w:bCs/>
          <w:color w:val="153D63" w:themeColor="text2" w:themeTint="E6"/>
        </w:rPr>
        <w:t>ovi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>, státní</w:t>
      </w:r>
      <w:r w:rsidR="000036AE" w:rsidRPr="00995A61">
        <w:rPr>
          <w:rFonts w:ascii="Times New Roman" w:hAnsi="Times New Roman"/>
          <w:b/>
          <w:bCs/>
          <w:color w:val="153D63" w:themeColor="text2" w:themeTint="E6"/>
        </w:rPr>
        <w:t>mu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 xml:space="preserve"> příslušník</w:t>
      </w:r>
      <w:r w:rsidR="00F538A4" w:rsidRPr="00995A61">
        <w:rPr>
          <w:rFonts w:ascii="Times New Roman" w:hAnsi="Times New Roman"/>
          <w:b/>
          <w:bCs/>
          <w:color w:val="153D63" w:themeColor="text2" w:themeTint="E6"/>
        </w:rPr>
        <w:t>ovi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 xml:space="preserve"> třetí země,</w:t>
      </w:r>
      <w:r w:rsidR="00C53B8C" w:rsidRPr="00995A61">
        <w:rPr>
          <w:rFonts w:ascii="Times New Roman" w:hAnsi="Times New Roman"/>
          <w:b/>
          <w:bCs/>
          <w:color w:val="153D63" w:themeColor="text2" w:themeTint="E6"/>
        </w:rPr>
        <w:t xml:space="preserve"> 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>byla zamítnuta žádost o vízum národním konzulátem členského státu EU. Jak</w:t>
      </w:r>
      <w:r w:rsidR="006A6956" w:rsidRPr="00995A61">
        <w:rPr>
          <w:rFonts w:ascii="Times New Roman" w:hAnsi="Times New Roman"/>
          <w:b/>
          <w:bCs/>
          <w:color w:val="153D63" w:themeColor="text2" w:themeTint="E6"/>
        </w:rPr>
        <w:t xml:space="preserve"> byste měli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 xml:space="preserve"> postupovat </w:t>
      </w:r>
      <w:r w:rsidR="005204C3" w:rsidRPr="00995A61">
        <w:rPr>
          <w:rFonts w:ascii="Times New Roman" w:hAnsi="Times New Roman"/>
          <w:b/>
          <w:bCs/>
          <w:color w:val="153D63" w:themeColor="text2" w:themeTint="E6"/>
        </w:rPr>
        <w:t>s </w:t>
      </w:r>
      <w:r w:rsidR="00415829">
        <w:rPr>
          <w:rFonts w:ascii="Times New Roman" w:hAnsi="Times New Roman"/>
          <w:b/>
          <w:bCs/>
          <w:color w:val="153D63" w:themeColor="text2" w:themeTint="E6"/>
        </w:rPr>
        <w:t>použitím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 xml:space="preserve"> Listin</w:t>
      </w:r>
      <w:r w:rsidR="00415829">
        <w:rPr>
          <w:rFonts w:ascii="Times New Roman" w:hAnsi="Times New Roman"/>
          <w:b/>
          <w:bCs/>
          <w:color w:val="153D63" w:themeColor="text2" w:themeTint="E6"/>
        </w:rPr>
        <w:t>y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>?</w:t>
      </w:r>
    </w:p>
    <w:p w14:paraId="55E8BC38" w14:textId="694EAF61" w:rsidR="00B239F3" w:rsidRPr="00B239F3" w:rsidRDefault="00B239F3" w:rsidP="00CE1C16">
      <w:pPr>
        <w:numPr>
          <w:ilvl w:val="0"/>
          <w:numId w:val="10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 xml:space="preserve">Zaměřit se pouze na napadení rozhodnutí konzulátu podle </w:t>
      </w:r>
      <w:r w:rsidR="004B3F48">
        <w:rPr>
          <w:rFonts w:ascii="Times New Roman" w:eastAsia="Times New Roman" w:hAnsi="Times New Roman" w:cs="Times New Roman"/>
        </w:rPr>
        <w:t>vnitrostátního</w:t>
      </w:r>
      <w:r w:rsidRPr="00B239F3">
        <w:rPr>
          <w:rFonts w:ascii="Times New Roman" w:eastAsia="Times New Roman" w:hAnsi="Times New Roman" w:cs="Times New Roman"/>
        </w:rPr>
        <w:t xml:space="preserve"> imigračního práva, protože Listina se na vízové záležitosti nevztahuje.</w:t>
      </w:r>
    </w:p>
    <w:p w14:paraId="5C899C3D" w14:textId="0642D302" w:rsidR="00B239F3" w:rsidRPr="00721939" w:rsidRDefault="00B239F3" w:rsidP="00CE1C16">
      <w:pPr>
        <w:numPr>
          <w:ilvl w:val="0"/>
          <w:numId w:val="10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721939">
        <w:rPr>
          <w:rFonts w:ascii="Times New Roman" w:eastAsia="Times New Roman" w:hAnsi="Times New Roman" w:cs="Times New Roman"/>
        </w:rPr>
        <w:t xml:space="preserve">Argumentovat, že Listina, zejména článek 47 (právo na účinný opravný prostředek), zaručuje právo klienta napadnout zamítnutí víza před nezávislým a nestranným soudem, neboť </w:t>
      </w:r>
      <w:r w:rsidR="00261922" w:rsidRPr="00721939">
        <w:rPr>
          <w:rFonts w:ascii="Times New Roman" w:eastAsia="Times New Roman" w:hAnsi="Times New Roman" w:cs="Times New Roman"/>
        </w:rPr>
        <w:t>vnitrostátní</w:t>
      </w:r>
      <w:r w:rsidRPr="00721939">
        <w:rPr>
          <w:rFonts w:ascii="Times New Roman" w:eastAsia="Times New Roman" w:hAnsi="Times New Roman" w:cs="Times New Roman"/>
        </w:rPr>
        <w:t xml:space="preserve"> orgány aplikují právo EU.</w:t>
      </w:r>
    </w:p>
    <w:p w14:paraId="263BBF95" w14:textId="4D5355B1" w:rsidR="00B239F3" w:rsidRPr="00B239F3" w:rsidRDefault="00B239F3" w:rsidP="00CE1C16">
      <w:pPr>
        <w:numPr>
          <w:ilvl w:val="0"/>
          <w:numId w:val="10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 xml:space="preserve">Podat stížnost </w:t>
      </w:r>
      <w:r w:rsidR="004F2A06">
        <w:rPr>
          <w:rFonts w:ascii="Times New Roman" w:eastAsia="Times New Roman" w:hAnsi="Times New Roman" w:cs="Times New Roman"/>
        </w:rPr>
        <w:t xml:space="preserve">přímo </w:t>
      </w:r>
      <w:r w:rsidRPr="00B239F3">
        <w:rPr>
          <w:rFonts w:ascii="Times New Roman" w:eastAsia="Times New Roman" w:hAnsi="Times New Roman" w:cs="Times New Roman"/>
        </w:rPr>
        <w:t>Evropské komisi</w:t>
      </w:r>
      <w:r w:rsidR="003739D4">
        <w:rPr>
          <w:rFonts w:ascii="Times New Roman" w:eastAsia="Times New Roman" w:hAnsi="Times New Roman" w:cs="Times New Roman"/>
        </w:rPr>
        <w:t xml:space="preserve"> s argumentem</w:t>
      </w:r>
      <w:r w:rsidRPr="00B239F3">
        <w:rPr>
          <w:rFonts w:ascii="Times New Roman" w:eastAsia="Times New Roman" w:hAnsi="Times New Roman" w:cs="Times New Roman"/>
        </w:rPr>
        <w:t xml:space="preserve">, že rozhodnutí </w:t>
      </w:r>
      <w:r w:rsidR="003739D4">
        <w:rPr>
          <w:rFonts w:ascii="Times New Roman" w:eastAsia="Times New Roman" w:hAnsi="Times New Roman" w:cs="Times New Roman"/>
        </w:rPr>
        <w:t xml:space="preserve">národního </w:t>
      </w:r>
      <w:r w:rsidRPr="00B239F3">
        <w:rPr>
          <w:rFonts w:ascii="Times New Roman" w:eastAsia="Times New Roman" w:hAnsi="Times New Roman" w:cs="Times New Roman"/>
        </w:rPr>
        <w:t>konzulátu porušuje právo EU.</w:t>
      </w:r>
    </w:p>
    <w:p w14:paraId="5D316E6D" w14:textId="1DE61B0F" w:rsidR="00B239F3" w:rsidRDefault="00B239F3" w:rsidP="00CE1C16">
      <w:pPr>
        <w:numPr>
          <w:ilvl w:val="0"/>
          <w:numId w:val="10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 xml:space="preserve">Odvolat se proti zamítnutí víza k Evropskému soudu pro lidská práva, protože se jedná o otázku základních práv </w:t>
      </w:r>
      <w:r w:rsidR="00F15EA6">
        <w:rPr>
          <w:rFonts w:ascii="Times New Roman" w:eastAsia="Times New Roman" w:hAnsi="Times New Roman" w:cs="Times New Roman"/>
        </w:rPr>
        <w:t>vyplývajících z</w:t>
      </w:r>
      <w:r w:rsidRPr="00B239F3">
        <w:rPr>
          <w:rFonts w:ascii="Times New Roman" w:eastAsia="Times New Roman" w:hAnsi="Times New Roman" w:cs="Times New Roman"/>
        </w:rPr>
        <w:t xml:space="preserve"> práva EU.</w:t>
      </w:r>
    </w:p>
    <w:p w14:paraId="2200F3F7" w14:textId="77777777" w:rsidR="00C875AC" w:rsidRPr="00B239F3" w:rsidRDefault="00C875AC" w:rsidP="00CE1C16">
      <w:pPr>
        <w:spacing w:before="60"/>
        <w:ind w:left="720"/>
        <w:jc w:val="both"/>
        <w:rPr>
          <w:rFonts w:ascii="Times New Roman" w:eastAsia="Times New Roman" w:hAnsi="Times New Roman" w:cs="Times New Roman"/>
        </w:rPr>
      </w:pPr>
    </w:p>
    <w:p w14:paraId="4C662762" w14:textId="198C3683" w:rsidR="00B239F3" w:rsidRPr="00995A61" w:rsidRDefault="00B239F3" w:rsidP="00CE1C16">
      <w:pPr>
        <w:spacing w:before="60"/>
        <w:jc w:val="both"/>
        <w:rPr>
          <w:rFonts w:ascii="Times New Roman" w:hAnsi="Times New Roman"/>
          <w:b/>
          <w:bCs/>
          <w:color w:val="153D63" w:themeColor="text2" w:themeTint="E6"/>
        </w:rPr>
      </w:pPr>
    </w:p>
    <w:p w14:paraId="0601C800" w14:textId="460B8E88" w:rsidR="00B239F3" w:rsidRPr="00995A61" w:rsidRDefault="00B239F3" w:rsidP="00CE1C16">
      <w:pPr>
        <w:pStyle w:val="Odstavecseseznamem"/>
        <w:numPr>
          <w:ilvl w:val="0"/>
          <w:numId w:val="13"/>
        </w:numPr>
        <w:spacing w:before="60"/>
        <w:jc w:val="both"/>
        <w:rPr>
          <w:rFonts w:ascii="Times New Roman" w:hAnsi="Times New Roman"/>
          <w:b/>
          <w:bCs/>
          <w:color w:val="153D63" w:themeColor="text2" w:themeTint="E6"/>
        </w:rPr>
      </w:pPr>
      <w:r w:rsidRPr="00995A61">
        <w:rPr>
          <w:rFonts w:ascii="Times New Roman" w:hAnsi="Times New Roman"/>
          <w:b/>
          <w:bCs/>
          <w:color w:val="153D63" w:themeColor="text2" w:themeTint="E6"/>
        </w:rPr>
        <w:t xml:space="preserve">Váš klient, zaměstnanec v EU, byl propuštěn za okolností, které považuje za porušení </w:t>
      </w:r>
      <w:r w:rsidR="00891EED" w:rsidRPr="00995A61">
        <w:rPr>
          <w:rFonts w:ascii="Times New Roman" w:hAnsi="Times New Roman"/>
          <w:b/>
          <w:bCs/>
          <w:color w:val="153D63" w:themeColor="text2" w:themeTint="E6"/>
        </w:rPr>
        <w:t>svých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 xml:space="preserve"> práv podle práva EU. Jak </w:t>
      </w:r>
      <w:r w:rsidR="0028387B" w:rsidRPr="00995A61">
        <w:rPr>
          <w:rFonts w:ascii="Times New Roman" w:hAnsi="Times New Roman"/>
          <w:b/>
          <w:bCs/>
          <w:color w:val="153D63" w:themeColor="text2" w:themeTint="E6"/>
        </w:rPr>
        <w:t xml:space="preserve">byste měli 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>postupovat</w:t>
      </w:r>
      <w:r w:rsidR="00891EED" w:rsidRPr="00995A61">
        <w:rPr>
          <w:rFonts w:ascii="Times New Roman" w:hAnsi="Times New Roman"/>
          <w:b/>
          <w:bCs/>
          <w:color w:val="153D63" w:themeColor="text2" w:themeTint="E6"/>
        </w:rPr>
        <w:t>, pokud chcete uplatnit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 xml:space="preserve"> člán</w:t>
      </w:r>
      <w:r w:rsidR="00891EED" w:rsidRPr="00995A61">
        <w:rPr>
          <w:rFonts w:ascii="Times New Roman" w:hAnsi="Times New Roman"/>
          <w:b/>
          <w:bCs/>
          <w:color w:val="153D63" w:themeColor="text2" w:themeTint="E6"/>
        </w:rPr>
        <w:t xml:space="preserve">ek 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>30 Listiny (ochrana proti ne</w:t>
      </w:r>
      <w:r w:rsidR="00A13682" w:rsidRPr="00995A61">
        <w:rPr>
          <w:rFonts w:ascii="Times New Roman" w:hAnsi="Times New Roman"/>
          <w:b/>
          <w:bCs/>
          <w:color w:val="153D63" w:themeColor="text2" w:themeTint="E6"/>
        </w:rPr>
        <w:t>oprávněnému</w:t>
      </w:r>
      <w:r w:rsidRPr="00995A61">
        <w:rPr>
          <w:rFonts w:ascii="Times New Roman" w:hAnsi="Times New Roman"/>
          <w:b/>
          <w:bCs/>
          <w:color w:val="153D63" w:themeColor="text2" w:themeTint="E6"/>
        </w:rPr>
        <w:t xml:space="preserve"> propuštění)?</w:t>
      </w:r>
    </w:p>
    <w:p w14:paraId="0D6262F9" w14:textId="77777777" w:rsidR="00B239F3" w:rsidRPr="00721939" w:rsidRDefault="00B239F3" w:rsidP="00CE1C16">
      <w:pPr>
        <w:numPr>
          <w:ilvl w:val="0"/>
          <w:numId w:val="11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721939">
        <w:rPr>
          <w:rFonts w:ascii="Times New Roman" w:eastAsia="Times New Roman" w:hAnsi="Times New Roman" w:cs="Times New Roman"/>
        </w:rPr>
        <w:t>Argumentovat, že Listina je aplikovatelná, protože směrnice EU v oblasti pracovního práva (např. o zákazu diskriminace a ochraně zaměstnanců) poskytují ochranu proti nespravedlivému propuštění a v daném případě nebyly dodrženy.</w:t>
      </w:r>
    </w:p>
    <w:p w14:paraId="127B9C10" w14:textId="10898F87" w:rsidR="00B239F3" w:rsidRPr="00B239F3" w:rsidRDefault="00B239F3" w:rsidP="00CE1C16">
      <w:pPr>
        <w:numPr>
          <w:ilvl w:val="0"/>
          <w:numId w:val="11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 xml:space="preserve">Soustředit se výhradně na </w:t>
      </w:r>
      <w:r w:rsidR="0060330C">
        <w:rPr>
          <w:rFonts w:ascii="Times New Roman" w:eastAsia="Times New Roman" w:hAnsi="Times New Roman" w:cs="Times New Roman"/>
        </w:rPr>
        <w:t>vnitrostátní</w:t>
      </w:r>
      <w:r w:rsidRPr="00B239F3">
        <w:rPr>
          <w:rFonts w:ascii="Times New Roman" w:eastAsia="Times New Roman" w:hAnsi="Times New Roman" w:cs="Times New Roman"/>
        </w:rPr>
        <w:t xml:space="preserve"> pracovní právo, protože článek 30 Listiny není přímo aplikovatelný v otázkách propuštění.</w:t>
      </w:r>
    </w:p>
    <w:p w14:paraId="2B1ECEBB" w14:textId="54A8BA7D" w:rsidR="00B239F3" w:rsidRPr="00B239F3" w:rsidRDefault="00B239F3" w:rsidP="00CE1C16">
      <w:pPr>
        <w:numPr>
          <w:ilvl w:val="0"/>
          <w:numId w:val="11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 xml:space="preserve">Napadnout propuštění </w:t>
      </w:r>
      <w:r w:rsidR="0099572A">
        <w:rPr>
          <w:rFonts w:ascii="Times New Roman" w:eastAsia="Times New Roman" w:hAnsi="Times New Roman" w:cs="Times New Roman"/>
        </w:rPr>
        <w:t>u vnitrostátního</w:t>
      </w:r>
      <w:r w:rsidRPr="00B239F3">
        <w:rPr>
          <w:rFonts w:ascii="Times New Roman" w:eastAsia="Times New Roman" w:hAnsi="Times New Roman" w:cs="Times New Roman"/>
        </w:rPr>
        <w:t xml:space="preserve"> soudu bez odkazu na právo EU, protože Listina neposkytuje specifickou ochranu v</w:t>
      </w:r>
      <w:r w:rsidR="00257648">
        <w:rPr>
          <w:rFonts w:ascii="Times New Roman" w:eastAsia="Times New Roman" w:hAnsi="Times New Roman" w:cs="Times New Roman"/>
        </w:rPr>
        <w:t> pracovních záležitostech.</w:t>
      </w:r>
    </w:p>
    <w:p w14:paraId="57EDA942" w14:textId="66C48861" w:rsidR="00B239F3" w:rsidRPr="00B239F3" w:rsidRDefault="00B239F3" w:rsidP="00CE1C16">
      <w:pPr>
        <w:numPr>
          <w:ilvl w:val="0"/>
          <w:numId w:val="11"/>
        </w:numPr>
        <w:spacing w:before="60"/>
        <w:jc w:val="both"/>
        <w:rPr>
          <w:rFonts w:ascii="Times New Roman" w:eastAsia="Times New Roman" w:hAnsi="Times New Roman" w:cs="Times New Roman"/>
        </w:rPr>
      </w:pPr>
      <w:r w:rsidRPr="00B239F3">
        <w:rPr>
          <w:rFonts w:ascii="Times New Roman" w:eastAsia="Times New Roman" w:hAnsi="Times New Roman" w:cs="Times New Roman"/>
        </w:rPr>
        <w:t xml:space="preserve">Obrátit se na Evropský soud pro lidská práva podle Evropské úmluvy o lidských právech, protože článek 30 Listiny </w:t>
      </w:r>
      <w:r w:rsidR="009C45CC">
        <w:rPr>
          <w:rFonts w:ascii="Times New Roman" w:eastAsia="Times New Roman" w:hAnsi="Times New Roman" w:cs="Times New Roman"/>
        </w:rPr>
        <w:t>není v tomto kontextu použitelný.</w:t>
      </w:r>
    </w:p>
    <w:p w14:paraId="53144E76" w14:textId="77777777" w:rsidR="00B239F3" w:rsidRDefault="00B239F3" w:rsidP="00CE1C16">
      <w:pPr>
        <w:spacing w:before="60"/>
        <w:jc w:val="both"/>
        <w:rPr>
          <w:rFonts w:ascii="Times New Roman" w:eastAsia="Times New Roman" w:hAnsi="Times New Roman" w:cs="Times New Roman"/>
        </w:rPr>
      </w:pPr>
    </w:p>
    <w:p w14:paraId="41E63CAD" w14:textId="77777777" w:rsidR="00C622FE" w:rsidRDefault="00C622FE" w:rsidP="00CE1C16">
      <w:pPr>
        <w:spacing w:before="60"/>
        <w:jc w:val="both"/>
        <w:rPr>
          <w:rFonts w:ascii="Times New Roman" w:eastAsia="Times New Roman" w:hAnsi="Times New Roman" w:cs="Times New Roman"/>
        </w:rPr>
      </w:pPr>
    </w:p>
    <w:p w14:paraId="34116E5D" w14:textId="77777777" w:rsidR="00C622FE" w:rsidRDefault="00C622FE" w:rsidP="00CE1C16">
      <w:pPr>
        <w:spacing w:before="60"/>
        <w:jc w:val="both"/>
        <w:rPr>
          <w:rFonts w:ascii="Times New Roman" w:eastAsia="Times New Roman" w:hAnsi="Times New Roman" w:cs="Times New Roman"/>
        </w:rPr>
      </w:pPr>
    </w:p>
    <w:p w14:paraId="3D1A2BA3" w14:textId="74CCC56D" w:rsidR="00C622FE" w:rsidRDefault="00C80FF7" w:rsidP="00CE1C16">
      <w:p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SPRÁVNÉ </w:t>
      </w:r>
      <w:r w:rsidR="00C622FE" w:rsidRPr="00C622FE">
        <w:rPr>
          <w:rFonts w:ascii="Times New Roman" w:eastAsia="Times New Roman" w:hAnsi="Times New Roman" w:cs="Times New Roman"/>
          <w:b/>
          <w:bCs/>
        </w:rPr>
        <w:t>ODPOVĚDI</w:t>
      </w:r>
    </w:p>
    <w:p w14:paraId="6910BD8D" w14:textId="1110FBF4" w:rsidR="00C622FE" w:rsidRDefault="00C622FE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1)</w:t>
      </w:r>
    </w:p>
    <w:p w14:paraId="7F8B04E3" w14:textId="5268FC86" w:rsidR="00C622FE" w:rsidRDefault="00C622FE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4)</w:t>
      </w:r>
    </w:p>
    <w:p w14:paraId="41E44AA5" w14:textId="3CE11010" w:rsidR="00C622FE" w:rsidRDefault="00C622FE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1)</w:t>
      </w:r>
    </w:p>
    <w:p w14:paraId="1824F021" w14:textId="3F1C00F3" w:rsidR="00C622FE" w:rsidRDefault="00C622FE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1)</w:t>
      </w:r>
    </w:p>
    <w:p w14:paraId="0683AAA3" w14:textId="7983F235" w:rsidR="00C622FE" w:rsidRDefault="00C622FE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2)</w:t>
      </w:r>
    </w:p>
    <w:p w14:paraId="6EC59D9C" w14:textId="416DD43D" w:rsidR="00C622FE" w:rsidRDefault="00C622FE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1)</w:t>
      </w:r>
    </w:p>
    <w:p w14:paraId="54F3BD63" w14:textId="0EE0BFE6" w:rsidR="00C622FE" w:rsidRDefault="002D4137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1)</w:t>
      </w:r>
    </w:p>
    <w:p w14:paraId="16A16AE0" w14:textId="60DF2FC0" w:rsidR="002D4137" w:rsidRDefault="002D4137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2)</w:t>
      </w:r>
    </w:p>
    <w:p w14:paraId="0E57CAAF" w14:textId="7091A42E" w:rsidR="002D4137" w:rsidRDefault="002D4137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2)</w:t>
      </w:r>
    </w:p>
    <w:p w14:paraId="25936A17" w14:textId="01DCB4C6" w:rsidR="002D4137" w:rsidRDefault="002D4137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1)</w:t>
      </w:r>
    </w:p>
    <w:p w14:paraId="78212EEF" w14:textId="6601661A" w:rsidR="002D4137" w:rsidRDefault="00B471B0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3)</w:t>
      </w:r>
    </w:p>
    <w:p w14:paraId="264D16ED" w14:textId="5101BF09" w:rsidR="00B471B0" w:rsidRDefault="00B243DA" w:rsidP="00C622FE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- </w:t>
      </w:r>
      <w:r w:rsidR="00B471B0">
        <w:rPr>
          <w:rFonts w:ascii="Times New Roman" w:eastAsia="Times New Roman" w:hAnsi="Times New Roman" w:cs="Times New Roman"/>
          <w:b/>
          <w:bCs/>
        </w:rPr>
        <w:t>2)</w:t>
      </w:r>
    </w:p>
    <w:p w14:paraId="4C59893F" w14:textId="77777777" w:rsidR="00F55C98" w:rsidRDefault="00F55C98" w:rsidP="00F55C98">
      <w:pPr>
        <w:pStyle w:val="Odstavecseseznamem"/>
        <w:spacing w:before="60"/>
        <w:ind w:left="1440"/>
        <w:jc w:val="both"/>
        <w:rPr>
          <w:rFonts w:ascii="Times New Roman" w:eastAsia="Times New Roman" w:hAnsi="Times New Roman" w:cs="Times New Roman"/>
          <w:b/>
          <w:bCs/>
        </w:rPr>
      </w:pPr>
    </w:p>
    <w:p w14:paraId="6D053422" w14:textId="13EF45E7" w:rsidR="00B471B0" w:rsidRPr="00F55C98" w:rsidRDefault="00B471B0" w:rsidP="00F55C98">
      <w:pPr>
        <w:pStyle w:val="Odstavecseseznamem"/>
        <w:numPr>
          <w:ilvl w:val="1"/>
          <w:numId w:val="13"/>
        </w:numPr>
        <w:spacing w:before="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3)</w:t>
      </w:r>
    </w:p>
    <w:p w14:paraId="09464B8E" w14:textId="502D7DC3" w:rsidR="00C10AAA" w:rsidRPr="00C10AAA" w:rsidRDefault="00C10AAA" w:rsidP="000570D6">
      <w:pPr>
        <w:pStyle w:val="Odstavecseseznamem"/>
        <w:numPr>
          <w:ilvl w:val="1"/>
          <w:numId w:val="13"/>
        </w:numPr>
        <w:ind w:left="1434" w:hanging="357"/>
        <w:jc w:val="both"/>
        <w:rPr>
          <w:rFonts w:ascii="Times New Roman" w:eastAsia="Times New Roman" w:hAnsi="Times New Roman" w:cs="Times New Roman"/>
          <w:b/>
          <w:bCs/>
        </w:rPr>
      </w:pPr>
      <w:r w:rsidRPr="00C10AAA">
        <w:rPr>
          <w:rFonts w:ascii="Times New Roman" w:eastAsia="Times New Roman" w:hAnsi="Times New Roman" w:cs="Times New Roman"/>
          <w:b/>
          <w:bCs/>
        </w:rPr>
        <w:t>–</w:t>
      </w:r>
      <w:r w:rsidR="00B471B0" w:rsidRPr="00C10AAA">
        <w:rPr>
          <w:rFonts w:ascii="Times New Roman" w:eastAsia="Times New Roman" w:hAnsi="Times New Roman" w:cs="Times New Roman"/>
          <w:b/>
          <w:bCs/>
        </w:rPr>
        <w:t xml:space="preserve"> </w:t>
      </w:r>
      <w:r w:rsidRPr="00C10AAA">
        <w:rPr>
          <w:rFonts w:ascii="Times New Roman" w:eastAsia="Times New Roman" w:hAnsi="Times New Roman" w:cs="Times New Roman"/>
          <w:b/>
          <w:bCs/>
        </w:rPr>
        <w:t>2)</w:t>
      </w:r>
    </w:p>
    <w:p w14:paraId="7B897616" w14:textId="1B4368E1" w:rsidR="00C10AAA" w:rsidRPr="00C10AAA" w:rsidRDefault="00C10AAA" w:rsidP="00CD634F">
      <w:pPr>
        <w:pStyle w:val="Odstavecseseznamem"/>
        <w:numPr>
          <w:ilvl w:val="1"/>
          <w:numId w:val="13"/>
        </w:numPr>
        <w:ind w:left="1434" w:hanging="357"/>
        <w:jc w:val="both"/>
        <w:rPr>
          <w:rFonts w:ascii="Times New Roman" w:eastAsia="Times New Roman" w:hAnsi="Times New Roman" w:cs="Times New Roman"/>
          <w:b/>
          <w:bCs/>
        </w:rPr>
      </w:pPr>
      <w:r w:rsidRPr="00C10AAA">
        <w:rPr>
          <w:rFonts w:ascii="Times New Roman" w:eastAsia="Times New Roman" w:hAnsi="Times New Roman" w:cs="Times New Roman"/>
          <w:b/>
          <w:bCs/>
        </w:rPr>
        <w:t>– 3)</w:t>
      </w:r>
    </w:p>
    <w:p w14:paraId="7E9BB2F4" w14:textId="0F684245" w:rsidR="00C10AAA" w:rsidRDefault="00C10AAA" w:rsidP="00C10AAA">
      <w:pPr>
        <w:pStyle w:val="Odstavecseseznamem"/>
        <w:numPr>
          <w:ilvl w:val="1"/>
          <w:numId w:val="13"/>
        </w:numPr>
        <w:ind w:left="1434" w:hanging="35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3)</w:t>
      </w:r>
    </w:p>
    <w:p w14:paraId="30411B43" w14:textId="4205CD4A" w:rsidR="00C10AAA" w:rsidRDefault="00C10AAA" w:rsidP="00C10AAA">
      <w:pPr>
        <w:pStyle w:val="Odstavecseseznamem"/>
        <w:numPr>
          <w:ilvl w:val="1"/>
          <w:numId w:val="13"/>
        </w:numPr>
        <w:ind w:left="1434" w:hanging="35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1)</w:t>
      </w:r>
    </w:p>
    <w:p w14:paraId="12700F3C" w14:textId="69A0F440" w:rsidR="00C10AAA" w:rsidRDefault="00C10AAA" w:rsidP="00C10AAA">
      <w:pPr>
        <w:pStyle w:val="Odstavecseseznamem"/>
        <w:numPr>
          <w:ilvl w:val="1"/>
          <w:numId w:val="13"/>
        </w:numPr>
        <w:ind w:left="1434" w:hanging="35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2)</w:t>
      </w:r>
    </w:p>
    <w:p w14:paraId="17279D87" w14:textId="3A1D7898" w:rsidR="00C10AAA" w:rsidRDefault="00C10AAA" w:rsidP="00C10AAA">
      <w:pPr>
        <w:pStyle w:val="Odstavecseseznamem"/>
        <w:numPr>
          <w:ilvl w:val="1"/>
          <w:numId w:val="13"/>
        </w:numPr>
        <w:ind w:left="1434" w:hanging="35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1)</w:t>
      </w:r>
    </w:p>
    <w:p w14:paraId="2BCFC40E" w14:textId="7BCC197B" w:rsidR="00C10AAA" w:rsidRDefault="00492B7F" w:rsidP="00C10AAA">
      <w:pPr>
        <w:pStyle w:val="Odstavecseseznamem"/>
        <w:numPr>
          <w:ilvl w:val="1"/>
          <w:numId w:val="13"/>
        </w:numPr>
        <w:ind w:left="1434" w:hanging="35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2)</w:t>
      </w:r>
    </w:p>
    <w:p w14:paraId="280FD3BC" w14:textId="1F019562" w:rsidR="00492B7F" w:rsidRDefault="00492B7F" w:rsidP="00C10AAA">
      <w:pPr>
        <w:pStyle w:val="Odstavecseseznamem"/>
        <w:numPr>
          <w:ilvl w:val="1"/>
          <w:numId w:val="13"/>
        </w:numPr>
        <w:ind w:left="1434" w:hanging="35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– 1)</w:t>
      </w:r>
    </w:p>
    <w:p w14:paraId="37D90C8D" w14:textId="77777777" w:rsidR="00492B7F" w:rsidRPr="00C10AAA" w:rsidRDefault="00492B7F" w:rsidP="00492B7F">
      <w:pPr>
        <w:pStyle w:val="Odstavecseseznamem"/>
        <w:ind w:left="1434"/>
        <w:jc w:val="both"/>
        <w:rPr>
          <w:rFonts w:ascii="Times New Roman" w:eastAsia="Times New Roman" w:hAnsi="Times New Roman" w:cs="Times New Roman"/>
          <w:b/>
          <w:bCs/>
        </w:rPr>
      </w:pPr>
    </w:p>
    <w:sectPr w:rsidR="00492B7F" w:rsidRPr="00C10AAA" w:rsidSect="0044279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5AEDB" w14:textId="77777777" w:rsidR="00FA7A22" w:rsidRDefault="00FA7A22" w:rsidP="00C23F9A">
      <w:r>
        <w:separator/>
      </w:r>
    </w:p>
  </w:endnote>
  <w:endnote w:type="continuationSeparator" w:id="0">
    <w:p w14:paraId="798884BB" w14:textId="77777777" w:rsidR="00FA7A22" w:rsidRDefault="00FA7A22" w:rsidP="00C23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6DEC4" w14:textId="77777777" w:rsidR="00FA7A22" w:rsidRDefault="00FA7A22" w:rsidP="00C23F9A">
      <w:r>
        <w:separator/>
      </w:r>
    </w:p>
  </w:footnote>
  <w:footnote w:type="continuationSeparator" w:id="0">
    <w:p w14:paraId="76DF4F19" w14:textId="77777777" w:rsidR="00FA7A22" w:rsidRDefault="00FA7A22" w:rsidP="00C23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F2DB6" w14:textId="22571CBB" w:rsidR="00C23F9A" w:rsidRDefault="00C23F9A">
    <w:pPr>
      <w:pStyle w:val="Zhlav"/>
    </w:pPr>
    <w:r w:rsidRPr="006E0617">
      <w:rPr>
        <w:rFonts w:ascii="Calibri" w:hAnsi="Calibri" w:cs="Calibri"/>
        <w:b/>
        <w:bCs/>
        <w:noProof/>
        <w:color w:val="002060"/>
        <w:sz w:val="22"/>
        <w:szCs w:val="22"/>
        <w:lang w:val="en-US"/>
      </w:rPr>
      <w:drawing>
        <wp:anchor distT="0" distB="0" distL="114300" distR="114300" simplePos="0" relativeHeight="251660800" behindDoc="1" locked="0" layoutInCell="1" allowOverlap="1" wp14:anchorId="02F60209" wp14:editId="33F730BF">
          <wp:simplePos x="0" y="0"/>
          <wp:positionH relativeFrom="margin">
            <wp:posOffset>-899795</wp:posOffset>
          </wp:positionH>
          <wp:positionV relativeFrom="paragraph">
            <wp:posOffset>-478155</wp:posOffset>
          </wp:positionV>
          <wp:extent cx="7573998" cy="882650"/>
          <wp:effectExtent l="0" t="0" r="0" b="0"/>
          <wp:wrapNone/>
          <wp:docPr id="1554203611" name="Image 5" descr="Une image contenant Bleu électrique, Bleu cobalt, Bleu Majorelle, drapeau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956334" name="Image 5" descr="Une image contenant Bleu électrique, Bleu cobalt, Bleu Majorelle, drapeau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998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021BF"/>
    <w:multiLevelType w:val="multilevel"/>
    <w:tmpl w:val="99D657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60D2FA5"/>
    <w:multiLevelType w:val="multilevel"/>
    <w:tmpl w:val="FBC8B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11285E"/>
    <w:multiLevelType w:val="multilevel"/>
    <w:tmpl w:val="2C7AC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153D63" w:themeColor="text2" w:themeTint="E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776479"/>
    <w:multiLevelType w:val="multilevel"/>
    <w:tmpl w:val="9FA29F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" w15:restartNumberingAfterBreak="0">
    <w:nsid w:val="35E24EAC"/>
    <w:multiLevelType w:val="multilevel"/>
    <w:tmpl w:val="8F9A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CA0205"/>
    <w:multiLevelType w:val="multilevel"/>
    <w:tmpl w:val="179884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color w:val="153D63" w:themeColor="text2" w:themeTint="E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518E6D17"/>
    <w:multiLevelType w:val="multilevel"/>
    <w:tmpl w:val="DA70A7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7" w15:restartNumberingAfterBreak="0">
    <w:nsid w:val="5D8F721C"/>
    <w:multiLevelType w:val="multilevel"/>
    <w:tmpl w:val="8F9A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DC10A0"/>
    <w:multiLevelType w:val="multilevel"/>
    <w:tmpl w:val="9E5A50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153D63" w:themeColor="text2" w:themeTint="E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B20B2F"/>
    <w:multiLevelType w:val="multilevel"/>
    <w:tmpl w:val="7908B3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 w15:restartNumberingAfterBreak="0">
    <w:nsid w:val="6A8E24C0"/>
    <w:multiLevelType w:val="multilevel"/>
    <w:tmpl w:val="11EC05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71272938"/>
    <w:multiLevelType w:val="multilevel"/>
    <w:tmpl w:val="0D4448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2" w15:restartNumberingAfterBreak="0">
    <w:nsid w:val="755A47E2"/>
    <w:multiLevelType w:val="multilevel"/>
    <w:tmpl w:val="F8403C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290671894">
    <w:abstractNumId w:val="2"/>
  </w:num>
  <w:num w:numId="2" w16cid:durableId="738016639">
    <w:abstractNumId w:val="4"/>
  </w:num>
  <w:num w:numId="3" w16cid:durableId="2038890884">
    <w:abstractNumId w:val="1"/>
  </w:num>
  <w:num w:numId="4" w16cid:durableId="1834949511">
    <w:abstractNumId w:val="7"/>
  </w:num>
  <w:num w:numId="5" w16cid:durableId="1970435860">
    <w:abstractNumId w:val="8"/>
  </w:num>
  <w:num w:numId="6" w16cid:durableId="362751533">
    <w:abstractNumId w:val="11"/>
  </w:num>
  <w:num w:numId="7" w16cid:durableId="1216308867">
    <w:abstractNumId w:val="6"/>
  </w:num>
  <w:num w:numId="8" w16cid:durableId="867107952">
    <w:abstractNumId w:val="12"/>
  </w:num>
  <w:num w:numId="9" w16cid:durableId="1971203089">
    <w:abstractNumId w:val="9"/>
  </w:num>
  <w:num w:numId="10" w16cid:durableId="304820530">
    <w:abstractNumId w:val="3"/>
  </w:num>
  <w:num w:numId="11" w16cid:durableId="1246652318">
    <w:abstractNumId w:val="0"/>
  </w:num>
  <w:num w:numId="12" w16cid:durableId="120348290">
    <w:abstractNumId w:val="10"/>
  </w:num>
  <w:num w:numId="13" w16cid:durableId="19560148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812"/>
    <w:rsid w:val="000036AE"/>
    <w:rsid w:val="00010AEB"/>
    <w:rsid w:val="000D4C77"/>
    <w:rsid w:val="000E79E0"/>
    <w:rsid w:val="00113939"/>
    <w:rsid w:val="00155F99"/>
    <w:rsid w:val="00160053"/>
    <w:rsid w:val="001A5773"/>
    <w:rsid w:val="001C4650"/>
    <w:rsid w:val="0024022E"/>
    <w:rsid w:val="00245879"/>
    <w:rsid w:val="00257648"/>
    <w:rsid w:val="00261922"/>
    <w:rsid w:val="0028387B"/>
    <w:rsid w:val="002D4137"/>
    <w:rsid w:val="00317ADA"/>
    <w:rsid w:val="00340BDB"/>
    <w:rsid w:val="00342031"/>
    <w:rsid w:val="003739D4"/>
    <w:rsid w:val="003B64C7"/>
    <w:rsid w:val="003C1C34"/>
    <w:rsid w:val="003C7D62"/>
    <w:rsid w:val="003D316F"/>
    <w:rsid w:val="00412F0D"/>
    <w:rsid w:val="00415829"/>
    <w:rsid w:val="00426588"/>
    <w:rsid w:val="00442797"/>
    <w:rsid w:val="00453BA8"/>
    <w:rsid w:val="00462BE6"/>
    <w:rsid w:val="00463A10"/>
    <w:rsid w:val="004830E4"/>
    <w:rsid w:val="00492B7F"/>
    <w:rsid w:val="004A5AE7"/>
    <w:rsid w:val="004B3F48"/>
    <w:rsid w:val="004C1B7C"/>
    <w:rsid w:val="004F10A2"/>
    <w:rsid w:val="004F2A06"/>
    <w:rsid w:val="00514FBE"/>
    <w:rsid w:val="005204C3"/>
    <w:rsid w:val="00527955"/>
    <w:rsid w:val="00577E5F"/>
    <w:rsid w:val="0058005F"/>
    <w:rsid w:val="005A3FA9"/>
    <w:rsid w:val="005D146E"/>
    <w:rsid w:val="005D6610"/>
    <w:rsid w:val="005E2521"/>
    <w:rsid w:val="005E5812"/>
    <w:rsid w:val="0060330C"/>
    <w:rsid w:val="00606D6D"/>
    <w:rsid w:val="00615FE9"/>
    <w:rsid w:val="006173E0"/>
    <w:rsid w:val="00622A62"/>
    <w:rsid w:val="00640BB2"/>
    <w:rsid w:val="00661D35"/>
    <w:rsid w:val="006764BA"/>
    <w:rsid w:val="00683261"/>
    <w:rsid w:val="006A6956"/>
    <w:rsid w:val="006B7F00"/>
    <w:rsid w:val="006C3E98"/>
    <w:rsid w:val="006C45DF"/>
    <w:rsid w:val="006D4FE2"/>
    <w:rsid w:val="006D6421"/>
    <w:rsid w:val="006E4570"/>
    <w:rsid w:val="006F3F22"/>
    <w:rsid w:val="007062C8"/>
    <w:rsid w:val="00721939"/>
    <w:rsid w:val="00745800"/>
    <w:rsid w:val="00766292"/>
    <w:rsid w:val="00791E9B"/>
    <w:rsid w:val="007B4D06"/>
    <w:rsid w:val="007C40BC"/>
    <w:rsid w:val="007F58EE"/>
    <w:rsid w:val="00815283"/>
    <w:rsid w:val="00846246"/>
    <w:rsid w:val="0084726C"/>
    <w:rsid w:val="008763B1"/>
    <w:rsid w:val="00885C99"/>
    <w:rsid w:val="00891EED"/>
    <w:rsid w:val="008C409E"/>
    <w:rsid w:val="0090283F"/>
    <w:rsid w:val="0094395A"/>
    <w:rsid w:val="00962F20"/>
    <w:rsid w:val="00993B1C"/>
    <w:rsid w:val="0099572A"/>
    <w:rsid w:val="00995A61"/>
    <w:rsid w:val="009B0661"/>
    <w:rsid w:val="009B32C6"/>
    <w:rsid w:val="009B47D3"/>
    <w:rsid w:val="009C45CC"/>
    <w:rsid w:val="009E5D5D"/>
    <w:rsid w:val="00A13682"/>
    <w:rsid w:val="00A31DE0"/>
    <w:rsid w:val="00A34671"/>
    <w:rsid w:val="00A413B4"/>
    <w:rsid w:val="00A44BC7"/>
    <w:rsid w:val="00AA29F1"/>
    <w:rsid w:val="00AB6677"/>
    <w:rsid w:val="00B15CD9"/>
    <w:rsid w:val="00B17455"/>
    <w:rsid w:val="00B239F3"/>
    <w:rsid w:val="00B23B5A"/>
    <w:rsid w:val="00B243DA"/>
    <w:rsid w:val="00B471B0"/>
    <w:rsid w:val="00B6151E"/>
    <w:rsid w:val="00B66E9A"/>
    <w:rsid w:val="00B83744"/>
    <w:rsid w:val="00B9441A"/>
    <w:rsid w:val="00BA7CCC"/>
    <w:rsid w:val="00C10AAA"/>
    <w:rsid w:val="00C23F9A"/>
    <w:rsid w:val="00C516DC"/>
    <w:rsid w:val="00C53B8C"/>
    <w:rsid w:val="00C622FE"/>
    <w:rsid w:val="00C63D01"/>
    <w:rsid w:val="00C73073"/>
    <w:rsid w:val="00C74410"/>
    <w:rsid w:val="00C80FF7"/>
    <w:rsid w:val="00C875AC"/>
    <w:rsid w:val="00CA4040"/>
    <w:rsid w:val="00CA449B"/>
    <w:rsid w:val="00CE1C16"/>
    <w:rsid w:val="00CE36D7"/>
    <w:rsid w:val="00D52CA6"/>
    <w:rsid w:val="00D7770B"/>
    <w:rsid w:val="00D97EC4"/>
    <w:rsid w:val="00DD7091"/>
    <w:rsid w:val="00DF45DA"/>
    <w:rsid w:val="00E42C02"/>
    <w:rsid w:val="00E97AA4"/>
    <w:rsid w:val="00EC5C79"/>
    <w:rsid w:val="00F049E7"/>
    <w:rsid w:val="00F15EA6"/>
    <w:rsid w:val="00F2682D"/>
    <w:rsid w:val="00F37899"/>
    <w:rsid w:val="00F43281"/>
    <w:rsid w:val="00F538A4"/>
    <w:rsid w:val="00F5454A"/>
    <w:rsid w:val="00F55C98"/>
    <w:rsid w:val="00F65465"/>
    <w:rsid w:val="00F678F5"/>
    <w:rsid w:val="00FA28E0"/>
    <w:rsid w:val="00FA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A52DB3A"/>
  <w15:docId w15:val="{223A0568-93AE-4DEE-868F-7B97EAA3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2797"/>
  </w:style>
  <w:style w:type="paragraph" w:styleId="Nadpis1">
    <w:name w:val="heading 1"/>
    <w:basedOn w:val="Normln"/>
    <w:next w:val="Normln"/>
    <w:link w:val="Nadpis1Char"/>
    <w:uiPriority w:val="9"/>
    <w:qFormat/>
    <w:rsid w:val="005E58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E58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E58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E58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58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58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58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58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58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58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E58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E58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E581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581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581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581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581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581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E58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E58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E58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E58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E58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E581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E581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E581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E58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E581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E5812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unhideWhenUsed/>
    <w:rsid w:val="00340BD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styleId="Textkomente">
    <w:name w:val="annotation text"/>
    <w:basedOn w:val="Normln"/>
    <w:uiPriority w:val="99"/>
    <w:semiHidden/>
    <w:unhideWhenUsed/>
    <w:rsid w:val="00442797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44279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58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58E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23F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3F9A"/>
  </w:style>
  <w:style w:type="paragraph" w:styleId="Zpat">
    <w:name w:val="footer"/>
    <w:basedOn w:val="Normln"/>
    <w:link w:val="ZpatChar"/>
    <w:uiPriority w:val="99"/>
    <w:unhideWhenUsed/>
    <w:rsid w:val="00C23F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23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6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869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271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329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468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768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88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648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464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6</Pages>
  <Words>1183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Unicom Praha</dc:creator>
  <cp:keywords/>
  <dc:description/>
  <cp:lastModifiedBy>MEZ</cp:lastModifiedBy>
  <cp:revision>116</cp:revision>
  <dcterms:created xsi:type="dcterms:W3CDTF">2024-06-03T14:42:00Z</dcterms:created>
  <dcterms:modified xsi:type="dcterms:W3CDTF">2025-10-20T12:50:00Z</dcterms:modified>
</cp:coreProperties>
</file>